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AC21A" w14:textId="77777777" w:rsidR="00AA7B50" w:rsidRPr="002167DD" w:rsidRDefault="00AA7B50" w:rsidP="002167DD">
      <w:pPr>
        <w:spacing w:line="360" w:lineRule="auto"/>
        <w:jc w:val="center"/>
        <w:rPr>
          <w:rFonts w:ascii="Arial" w:hAnsi="Arial" w:cs="Arial"/>
          <w:b/>
          <w:sz w:val="24"/>
        </w:rPr>
      </w:pPr>
      <w:r w:rsidRPr="002167DD">
        <w:rPr>
          <w:rFonts w:ascii="Arial" w:hAnsi="Arial" w:cs="Arial"/>
          <w:b/>
          <w:sz w:val="24"/>
        </w:rPr>
        <w:t>Vyřizování a podávání stížností</w:t>
      </w:r>
      <w:r w:rsidR="00736029">
        <w:rPr>
          <w:rFonts w:ascii="Arial" w:hAnsi="Arial" w:cs="Arial"/>
          <w:b/>
          <w:sz w:val="24"/>
        </w:rPr>
        <w:t xml:space="preserve"> – orgán sociálně právní ochrany dětí</w:t>
      </w:r>
      <w:r w:rsidR="004723B4">
        <w:rPr>
          <w:rFonts w:ascii="Arial" w:hAnsi="Arial" w:cs="Arial"/>
          <w:b/>
          <w:sz w:val="24"/>
        </w:rPr>
        <w:t xml:space="preserve"> Magistrátu města Zlína</w:t>
      </w:r>
    </w:p>
    <w:p w14:paraId="2B0AC21B" w14:textId="77777777" w:rsidR="00AA7B50" w:rsidRPr="002167DD" w:rsidRDefault="00AA7B50" w:rsidP="00AA7B50">
      <w:pPr>
        <w:pStyle w:val="Default"/>
        <w:rPr>
          <w:sz w:val="22"/>
          <w:szCs w:val="22"/>
        </w:rPr>
      </w:pPr>
    </w:p>
    <w:p w14:paraId="2B0AC21C" w14:textId="77777777" w:rsidR="00AA7B50" w:rsidRDefault="00AA7B50" w:rsidP="002167DD">
      <w:pPr>
        <w:pStyle w:val="Default"/>
        <w:jc w:val="center"/>
        <w:rPr>
          <w:b/>
          <w:bCs/>
          <w:sz w:val="22"/>
          <w:szCs w:val="22"/>
        </w:rPr>
      </w:pPr>
      <w:r w:rsidRPr="002167DD">
        <w:rPr>
          <w:b/>
          <w:bCs/>
          <w:sz w:val="22"/>
          <w:szCs w:val="22"/>
        </w:rPr>
        <w:t>Co se rozumí stížností?</w:t>
      </w:r>
    </w:p>
    <w:p w14:paraId="2B0AC21D" w14:textId="77777777" w:rsidR="004723B4" w:rsidRDefault="00AA7B50" w:rsidP="004723B4">
      <w:pPr>
        <w:spacing w:before="240"/>
        <w:jc w:val="both"/>
        <w:rPr>
          <w:rFonts w:ascii="Arial" w:hAnsi="Arial" w:cs="Arial"/>
        </w:rPr>
      </w:pPr>
      <w:r w:rsidRPr="002167DD">
        <w:rPr>
          <w:rFonts w:ascii="Arial" w:hAnsi="Arial" w:cs="Arial"/>
        </w:rPr>
        <w:t xml:space="preserve">Stížností se rozumí podnět, který svým obsahem poukazuje na nevhodné chování úředních osob, nesprávný postup správního orgánu nebo jiný nedostatek týkající se osobních zájmů stěžovatele, který se domáhá ochrany svých práv a právem chráněných zájmů. </w:t>
      </w:r>
      <w:r w:rsidR="00736029">
        <w:rPr>
          <w:rFonts w:ascii="Arial" w:hAnsi="Arial" w:cs="Arial"/>
        </w:rPr>
        <w:t>Orgán sociálně právní ochrany dětí</w:t>
      </w:r>
      <w:r w:rsidR="00736029" w:rsidRPr="00736029">
        <w:rPr>
          <w:rFonts w:ascii="Arial" w:hAnsi="Arial" w:cs="Arial"/>
        </w:rPr>
        <w:t xml:space="preserve"> postupuje při vyřizování stížností v souladu s § 175 zákona </w:t>
      </w:r>
      <w:r w:rsidR="00736029">
        <w:rPr>
          <w:rFonts w:ascii="Arial" w:hAnsi="Arial" w:cs="Arial"/>
        </w:rPr>
        <w:br/>
      </w:r>
      <w:r w:rsidR="00736029" w:rsidRPr="00736029">
        <w:rPr>
          <w:rFonts w:ascii="Arial" w:hAnsi="Arial" w:cs="Arial"/>
        </w:rPr>
        <w:t>č. 500/2004 Sb. a interní Směrnicí O přijímání a vyřizování petic a stížností</w:t>
      </w:r>
      <w:r w:rsidR="00736029">
        <w:rPr>
          <w:rFonts w:ascii="Arial" w:hAnsi="Arial" w:cs="Arial"/>
        </w:rPr>
        <w:t>.</w:t>
      </w:r>
    </w:p>
    <w:p w14:paraId="2B0AC21E" w14:textId="77777777" w:rsidR="00736029" w:rsidRPr="00695D40" w:rsidRDefault="00736029" w:rsidP="004723B4">
      <w:pPr>
        <w:spacing w:before="240"/>
        <w:jc w:val="both"/>
        <w:rPr>
          <w:rFonts w:ascii="Arial" w:hAnsi="Arial" w:cs="Arial"/>
        </w:rPr>
      </w:pPr>
    </w:p>
    <w:p w14:paraId="2B0AC21F" w14:textId="77777777" w:rsidR="00AA7B50" w:rsidRPr="002167DD" w:rsidRDefault="00695D40" w:rsidP="004723B4">
      <w:pPr>
        <w:spacing w:before="240"/>
        <w:jc w:val="center"/>
        <w:rPr>
          <w:rFonts w:ascii="Arial" w:hAnsi="Arial" w:cs="Arial"/>
          <w:b/>
        </w:rPr>
      </w:pPr>
      <w:r>
        <w:rPr>
          <w:rFonts w:ascii="Arial" w:hAnsi="Arial" w:cs="Arial"/>
          <w:b/>
        </w:rPr>
        <w:t>Co by stížnost měla obsahovat?</w:t>
      </w:r>
    </w:p>
    <w:p w14:paraId="2B0AC220" w14:textId="77777777" w:rsidR="004723B4" w:rsidRPr="004723B4" w:rsidRDefault="00695D40" w:rsidP="001C2BD1">
      <w:pPr>
        <w:jc w:val="both"/>
        <w:rPr>
          <w:rFonts w:ascii="Arial" w:hAnsi="Arial" w:cs="Arial"/>
        </w:rPr>
      </w:pPr>
      <w:r w:rsidRPr="00695D40">
        <w:rPr>
          <w:rFonts w:ascii="Arial" w:hAnsi="Arial" w:cs="Arial"/>
        </w:rPr>
        <w:t>Stížnost by měla obsahovat identifikační údaje stěžovatele (jméno, příjmení, doručovací adresa</w:t>
      </w:r>
      <w:r w:rsidR="00CF0B39">
        <w:rPr>
          <w:rFonts w:ascii="Arial" w:hAnsi="Arial" w:cs="Arial"/>
        </w:rPr>
        <w:t>, podpis</w:t>
      </w:r>
      <w:r w:rsidRPr="00695D40">
        <w:rPr>
          <w:rFonts w:ascii="Arial" w:hAnsi="Arial" w:cs="Arial"/>
        </w:rPr>
        <w:t>), popis toho na co si konkrétně stěžuje nebo čeho se domáhá.</w:t>
      </w:r>
    </w:p>
    <w:p w14:paraId="2B0AC221" w14:textId="77777777" w:rsidR="004723B4" w:rsidRDefault="002167DD" w:rsidP="004723B4">
      <w:pPr>
        <w:pStyle w:val="Default"/>
        <w:spacing w:after="240" w:line="360" w:lineRule="auto"/>
        <w:jc w:val="center"/>
        <w:rPr>
          <w:rFonts w:eastAsia="Calibri"/>
          <w:b/>
          <w:color w:val="auto"/>
          <w:sz w:val="22"/>
          <w:szCs w:val="22"/>
        </w:rPr>
      </w:pPr>
      <w:r w:rsidRPr="002167DD">
        <w:rPr>
          <w:rFonts w:eastAsia="Calibri"/>
          <w:b/>
          <w:color w:val="auto"/>
          <w:sz w:val="22"/>
          <w:szCs w:val="22"/>
        </w:rPr>
        <w:t>Kdo je stěžovatelem?</w:t>
      </w:r>
    </w:p>
    <w:p w14:paraId="2B0AC222" w14:textId="77777777" w:rsidR="004723B4" w:rsidRPr="004723B4" w:rsidRDefault="002167DD" w:rsidP="004723B4">
      <w:pPr>
        <w:pStyle w:val="Default"/>
        <w:spacing w:after="240" w:line="360" w:lineRule="auto"/>
        <w:jc w:val="both"/>
        <w:rPr>
          <w:rFonts w:eastAsia="Calibri"/>
          <w:color w:val="auto"/>
          <w:sz w:val="22"/>
          <w:szCs w:val="22"/>
        </w:rPr>
      </w:pPr>
      <w:r w:rsidRPr="002167DD">
        <w:rPr>
          <w:rFonts w:eastAsia="Calibri"/>
          <w:color w:val="auto"/>
          <w:sz w:val="22"/>
          <w:szCs w:val="22"/>
        </w:rPr>
        <w:t>Každá fyzická i právnická osoba je oprávněna podat stížnost.</w:t>
      </w:r>
      <w:r>
        <w:rPr>
          <w:rFonts w:ascii="Times New Roman" w:hAnsi="Times New Roman"/>
        </w:rPr>
        <w:t xml:space="preserve"> </w:t>
      </w:r>
      <w:r w:rsidRPr="002167DD">
        <w:rPr>
          <w:rFonts w:eastAsia="Calibri"/>
          <w:color w:val="auto"/>
          <w:sz w:val="22"/>
          <w:szCs w:val="22"/>
        </w:rPr>
        <w:t xml:space="preserve">Stížnost může podat i nezletilá osoba (dítě). </w:t>
      </w:r>
    </w:p>
    <w:p w14:paraId="2B0AC223" w14:textId="77777777" w:rsidR="00483B19" w:rsidRDefault="00695D40" w:rsidP="00695D40">
      <w:pPr>
        <w:pStyle w:val="Default"/>
        <w:jc w:val="center"/>
        <w:rPr>
          <w:rFonts w:eastAsia="Calibri"/>
          <w:b/>
          <w:color w:val="auto"/>
          <w:sz w:val="22"/>
          <w:szCs w:val="22"/>
        </w:rPr>
      </w:pPr>
      <w:r>
        <w:rPr>
          <w:rFonts w:eastAsia="Calibri"/>
          <w:b/>
          <w:color w:val="auto"/>
          <w:sz w:val="22"/>
          <w:szCs w:val="22"/>
        </w:rPr>
        <w:t>Kde lze stížnost podat?</w:t>
      </w:r>
    </w:p>
    <w:p w14:paraId="2B0AC224" w14:textId="77777777" w:rsidR="00695D40" w:rsidRPr="00695D40" w:rsidRDefault="00695D40" w:rsidP="00695D40">
      <w:pPr>
        <w:pStyle w:val="Default"/>
        <w:jc w:val="center"/>
        <w:rPr>
          <w:rFonts w:eastAsia="Calibri"/>
          <w:b/>
          <w:color w:val="auto"/>
          <w:sz w:val="22"/>
          <w:szCs w:val="22"/>
        </w:rPr>
      </w:pPr>
    </w:p>
    <w:p w14:paraId="2B0AC225" w14:textId="77777777" w:rsidR="00483B19" w:rsidRPr="00695D40" w:rsidRDefault="00695D40" w:rsidP="008339A7">
      <w:pPr>
        <w:pStyle w:val="Odstavecseseznamem"/>
        <w:numPr>
          <w:ilvl w:val="0"/>
          <w:numId w:val="11"/>
        </w:numPr>
        <w:spacing w:after="0"/>
        <w:jc w:val="both"/>
        <w:rPr>
          <w:rFonts w:ascii="Arial" w:hAnsi="Arial" w:cs="Arial"/>
        </w:rPr>
      </w:pPr>
      <w:r w:rsidRPr="00695D40">
        <w:rPr>
          <w:rFonts w:ascii="Arial" w:hAnsi="Arial" w:cs="Arial"/>
        </w:rPr>
        <w:t>p</w:t>
      </w:r>
      <w:r w:rsidR="00483B19" w:rsidRPr="00695D40">
        <w:rPr>
          <w:rFonts w:ascii="Arial" w:hAnsi="Arial" w:cs="Arial"/>
        </w:rPr>
        <w:t>ísemně na adresu Magistrátu města Zlína, Odbor sociálních věcí, oddělení sociálně-právní ochrany dětí</w:t>
      </w:r>
      <w:r w:rsidR="00FB6052">
        <w:rPr>
          <w:rFonts w:ascii="Arial" w:hAnsi="Arial" w:cs="Arial"/>
        </w:rPr>
        <w:t>, tř. T. Bati 3972, 760 01 Zlín</w:t>
      </w:r>
    </w:p>
    <w:p w14:paraId="2B0AC226" w14:textId="77777777" w:rsidR="00483B19" w:rsidRPr="00695D40" w:rsidRDefault="001C2BD1" w:rsidP="008339A7">
      <w:pPr>
        <w:pStyle w:val="Odstavecseseznamem"/>
        <w:numPr>
          <w:ilvl w:val="0"/>
          <w:numId w:val="11"/>
        </w:numPr>
        <w:spacing w:after="0"/>
        <w:jc w:val="both"/>
        <w:rPr>
          <w:rFonts w:ascii="Arial" w:hAnsi="Arial" w:cs="Arial"/>
        </w:rPr>
      </w:pPr>
      <w:r>
        <w:rPr>
          <w:rFonts w:ascii="Arial" w:hAnsi="Arial" w:cs="Arial"/>
        </w:rPr>
        <w:t>e</w:t>
      </w:r>
      <w:r w:rsidR="00483B19" w:rsidRPr="00695D40">
        <w:rPr>
          <w:rFonts w:ascii="Arial" w:hAnsi="Arial" w:cs="Arial"/>
        </w:rPr>
        <w:t xml:space="preserve">lektronicky </w:t>
      </w:r>
    </w:p>
    <w:p w14:paraId="2B0AC227" w14:textId="77777777" w:rsidR="00483B19" w:rsidRPr="00695D40" w:rsidRDefault="00483B19" w:rsidP="008339A7">
      <w:pPr>
        <w:pStyle w:val="Odstavecseseznamem"/>
        <w:numPr>
          <w:ilvl w:val="0"/>
          <w:numId w:val="12"/>
        </w:numPr>
        <w:spacing w:after="0"/>
        <w:jc w:val="both"/>
        <w:rPr>
          <w:rFonts w:ascii="Arial" w:hAnsi="Arial" w:cs="Arial"/>
        </w:rPr>
      </w:pPr>
      <w:r w:rsidRPr="00695D40">
        <w:rPr>
          <w:rFonts w:ascii="Arial" w:hAnsi="Arial" w:cs="Arial"/>
        </w:rPr>
        <w:t>datovou schránkou na ID: 5ttb7bs</w:t>
      </w:r>
    </w:p>
    <w:p w14:paraId="2B0AC228" w14:textId="000C4CA4" w:rsidR="00483B19" w:rsidRPr="00695D40" w:rsidRDefault="00483B19" w:rsidP="008339A7">
      <w:pPr>
        <w:pStyle w:val="Odstavecseseznamem"/>
        <w:numPr>
          <w:ilvl w:val="0"/>
          <w:numId w:val="12"/>
        </w:numPr>
        <w:spacing w:after="0"/>
        <w:jc w:val="both"/>
        <w:rPr>
          <w:rFonts w:ascii="Arial" w:hAnsi="Arial" w:cs="Arial"/>
        </w:rPr>
      </w:pPr>
      <w:r w:rsidRPr="00695D40">
        <w:rPr>
          <w:rFonts w:ascii="Arial" w:hAnsi="Arial" w:cs="Arial"/>
        </w:rPr>
        <w:t xml:space="preserve">emailem na podatelnu MMZ, na adresu </w:t>
      </w:r>
      <w:hyperlink r:id="rId6" w:history="1">
        <w:r w:rsidRPr="00695D40">
          <w:rPr>
            <w:rStyle w:val="Hypertextovodkaz"/>
            <w:rFonts w:ascii="Arial" w:hAnsi="Arial" w:cs="Arial"/>
          </w:rPr>
          <w:t>posta@zlin.eu</w:t>
        </w:r>
      </w:hyperlink>
      <w:r w:rsidRPr="00695D40">
        <w:rPr>
          <w:rFonts w:ascii="Arial" w:hAnsi="Arial" w:cs="Arial"/>
        </w:rPr>
        <w:t xml:space="preserve"> nebo na emailovou adresu </w:t>
      </w:r>
      <w:r w:rsidR="00F15928">
        <w:rPr>
          <w:rFonts w:ascii="Arial" w:hAnsi="Arial" w:cs="Arial"/>
        </w:rPr>
        <w:t>vedoucí OSV Mgr. Radany Dundálkové</w:t>
      </w:r>
      <w:r w:rsidRPr="00695D40">
        <w:rPr>
          <w:rFonts w:ascii="Arial" w:hAnsi="Arial" w:cs="Arial"/>
        </w:rPr>
        <w:t xml:space="preserve"> (</w:t>
      </w:r>
      <w:bookmarkStart w:id="0" w:name="_GoBack"/>
      <w:bookmarkEnd w:id="0"/>
      <w:r w:rsidR="00F15928">
        <w:rPr>
          <w:rFonts w:ascii="Arial" w:hAnsi="Arial" w:cs="Arial"/>
        </w:rPr>
        <w:fldChar w:fldCharType="begin"/>
      </w:r>
      <w:r w:rsidR="00F15928">
        <w:rPr>
          <w:rFonts w:ascii="Arial" w:hAnsi="Arial" w:cs="Arial"/>
        </w:rPr>
        <w:instrText xml:space="preserve"> HYPERLINK "mailto:</w:instrText>
      </w:r>
      <w:r w:rsidR="00F15928" w:rsidRPr="00F15928">
        <w:rPr>
          <w:rFonts w:ascii="Arial" w:hAnsi="Arial" w:cs="Arial"/>
        </w:rPr>
        <w:instrText>radanadundalkova@zlin.eu</w:instrText>
      </w:r>
      <w:r w:rsidR="00F15928">
        <w:rPr>
          <w:rFonts w:ascii="Arial" w:hAnsi="Arial" w:cs="Arial"/>
        </w:rPr>
        <w:instrText xml:space="preserve">" </w:instrText>
      </w:r>
      <w:r w:rsidR="00F15928">
        <w:rPr>
          <w:rFonts w:ascii="Arial" w:hAnsi="Arial" w:cs="Arial"/>
        </w:rPr>
        <w:fldChar w:fldCharType="separate"/>
      </w:r>
      <w:r w:rsidR="00F15928" w:rsidRPr="003F5EE7">
        <w:rPr>
          <w:rStyle w:val="Hypertextovodkaz"/>
          <w:rFonts w:ascii="Arial" w:hAnsi="Arial" w:cs="Arial"/>
        </w:rPr>
        <w:t>radanadundalkova@zlin.eu</w:t>
      </w:r>
      <w:r w:rsidR="00F15928">
        <w:rPr>
          <w:rFonts w:ascii="Arial" w:hAnsi="Arial" w:cs="Arial"/>
        </w:rPr>
        <w:fldChar w:fldCharType="end"/>
      </w:r>
      <w:r w:rsidRPr="00695D40">
        <w:rPr>
          <w:rFonts w:ascii="Arial" w:hAnsi="Arial" w:cs="Arial"/>
        </w:rPr>
        <w:t>) nebo vedoucí odd. SPOD Mgr. Marie Semelové (</w:t>
      </w:r>
      <w:hyperlink r:id="rId7" w:history="1">
        <w:r w:rsidRPr="00695D40">
          <w:rPr>
            <w:rStyle w:val="Hypertextovodkaz"/>
            <w:rFonts w:ascii="Arial" w:hAnsi="Arial" w:cs="Arial"/>
          </w:rPr>
          <w:t>mariesemelová@zlin.eu</w:t>
        </w:r>
      </w:hyperlink>
      <w:r w:rsidRPr="00695D40">
        <w:rPr>
          <w:rFonts w:ascii="Arial" w:hAnsi="Arial" w:cs="Arial"/>
        </w:rPr>
        <w:t xml:space="preserve">). Email musí být podepsán zaručeným elektronickým podpisem, v případě že tento podpis chybí, je stěžovatel vyzván, aby ve lhůtě do 5-ti dnů doplnil podání vlastnoručním podpisem </w:t>
      </w:r>
    </w:p>
    <w:p w14:paraId="2B0AC229" w14:textId="77777777" w:rsidR="00483B19" w:rsidRPr="00695D40" w:rsidRDefault="001C2BD1" w:rsidP="008339A7">
      <w:pPr>
        <w:pStyle w:val="Odstavecseseznamem"/>
        <w:numPr>
          <w:ilvl w:val="0"/>
          <w:numId w:val="11"/>
        </w:numPr>
        <w:spacing w:after="0"/>
        <w:jc w:val="both"/>
        <w:rPr>
          <w:rFonts w:ascii="Arial" w:hAnsi="Arial" w:cs="Arial"/>
        </w:rPr>
      </w:pPr>
      <w:r>
        <w:rPr>
          <w:rFonts w:ascii="Arial" w:hAnsi="Arial" w:cs="Arial"/>
        </w:rPr>
        <w:t>ú</w:t>
      </w:r>
      <w:r w:rsidR="00483B19" w:rsidRPr="00695D40">
        <w:rPr>
          <w:rFonts w:ascii="Arial" w:hAnsi="Arial" w:cs="Arial"/>
        </w:rPr>
        <w:t>stně - do protokolu pracovník se stěžovatelem sep</w:t>
      </w:r>
      <w:r w:rsidR="00FB6052">
        <w:rPr>
          <w:rFonts w:ascii="Arial" w:hAnsi="Arial" w:cs="Arial"/>
        </w:rPr>
        <w:t>íše záznam o podání stížnosti, s</w:t>
      </w:r>
      <w:r w:rsidR="00483B19" w:rsidRPr="00695D40">
        <w:rPr>
          <w:rFonts w:ascii="Arial" w:hAnsi="Arial" w:cs="Arial"/>
        </w:rPr>
        <w:t>tížnost touto formou lze podat na adrese Magistrátu města Zlína, Odbor sociálních věcí, oddělení sociálně-právní ochrany dětí, tř. T. Bati 3972, 760 01 Zlín, u kteréh</w:t>
      </w:r>
      <w:r w:rsidR="00FB6052">
        <w:rPr>
          <w:rFonts w:ascii="Arial" w:hAnsi="Arial" w:cs="Arial"/>
        </w:rPr>
        <w:t>okoliv pracovníka oddělení SPOD</w:t>
      </w:r>
    </w:p>
    <w:p w14:paraId="2B0AC22A" w14:textId="77777777" w:rsidR="00C1781F" w:rsidRDefault="001C2BD1" w:rsidP="00C1781F">
      <w:pPr>
        <w:pStyle w:val="Odstavecseseznamem"/>
        <w:numPr>
          <w:ilvl w:val="0"/>
          <w:numId w:val="11"/>
        </w:numPr>
        <w:spacing w:after="0"/>
        <w:jc w:val="both"/>
        <w:rPr>
          <w:rFonts w:ascii="Arial" w:hAnsi="Arial" w:cs="Arial"/>
        </w:rPr>
      </w:pPr>
      <w:r>
        <w:rPr>
          <w:rFonts w:ascii="Arial" w:hAnsi="Arial" w:cs="Arial"/>
        </w:rPr>
        <w:t>t</w:t>
      </w:r>
      <w:r w:rsidR="00483B19" w:rsidRPr="00695D40">
        <w:rPr>
          <w:rFonts w:ascii="Arial" w:hAnsi="Arial" w:cs="Arial"/>
        </w:rPr>
        <w:t>elefonicky - volající je vyzván, aby stížnost doručil písemně (formami viz výše) nebo se dostavil k sepsání záznamu o stížnosti formou protok</w:t>
      </w:r>
      <w:r w:rsidR="00FB6052">
        <w:rPr>
          <w:rFonts w:ascii="Arial" w:hAnsi="Arial" w:cs="Arial"/>
        </w:rPr>
        <w:t>olu na pracoviště oddělení SPOD</w:t>
      </w:r>
    </w:p>
    <w:p w14:paraId="2B0AC22B" w14:textId="77777777" w:rsidR="004723B4" w:rsidRDefault="004723B4" w:rsidP="004723B4">
      <w:pPr>
        <w:spacing w:after="0"/>
        <w:jc w:val="both"/>
        <w:rPr>
          <w:rFonts w:ascii="Arial" w:hAnsi="Arial" w:cs="Arial"/>
        </w:rPr>
      </w:pPr>
    </w:p>
    <w:p w14:paraId="2B0AC22C" w14:textId="77777777" w:rsidR="004723B4" w:rsidRPr="004723B4" w:rsidRDefault="004723B4" w:rsidP="004723B4">
      <w:pPr>
        <w:spacing w:after="0"/>
        <w:ind w:left="360"/>
        <w:jc w:val="both"/>
        <w:rPr>
          <w:rFonts w:ascii="Arial" w:hAnsi="Arial" w:cs="Arial"/>
        </w:rPr>
      </w:pPr>
    </w:p>
    <w:p w14:paraId="2B0AC22D" w14:textId="77777777" w:rsidR="001C2BD1" w:rsidRDefault="00FB6052" w:rsidP="001C2BD1">
      <w:pPr>
        <w:pStyle w:val="Default"/>
        <w:jc w:val="center"/>
        <w:rPr>
          <w:rFonts w:eastAsia="Calibri"/>
          <w:b/>
          <w:color w:val="auto"/>
          <w:sz w:val="22"/>
          <w:szCs w:val="22"/>
        </w:rPr>
      </w:pPr>
      <w:r>
        <w:rPr>
          <w:rFonts w:eastAsia="Calibri"/>
          <w:b/>
          <w:color w:val="auto"/>
          <w:sz w:val="22"/>
          <w:szCs w:val="22"/>
        </w:rPr>
        <w:t>Jak se stížnost vyřizuje?</w:t>
      </w:r>
    </w:p>
    <w:p w14:paraId="2B0AC22E" w14:textId="77777777" w:rsidR="001C2BD1" w:rsidRPr="001C2BD1" w:rsidRDefault="001C2BD1" w:rsidP="001C2BD1">
      <w:pPr>
        <w:pStyle w:val="Default"/>
        <w:jc w:val="center"/>
        <w:rPr>
          <w:rFonts w:eastAsia="Calibri"/>
          <w:b/>
          <w:color w:val="auto"/>
          <w:sz w:val="22"/>
          <w:szCs w:val="22"/>
        </w:rPr>
      </w:pPr>
    </w:p>
    <w:p w14:paraId="2B0AC22F" w14:textId="77777777" w:rsidR="00483B19" w:rsidRPr="001C2BD1" w:rsidRDefault="00483B19" w:rsidP="001C2BD1">
      <w:pPr>
        <w:pStyle w:val="odstavec"/>
        <w:spacing w:line="276" w:lineRule="auto"/>
        <w:rPr>
          <w:rFonts w:eastAsia="Calibri" w:cs="Arial"/>
          <w:szCs w:val="22"/>
          <w:lang w:eastAsia="en-US"/>
        </w:rPr>
      </w:pPr>
      <w:r w:rsidRPr="001C2BD1">
        <w:rPr>
          <w:rFonts w:eastAsia="Calibri" w:cs="Arial"/>
          <w:szCs w:val="22"/>
          <w:lang w:eastAsia="en-US"/>
        </w:rPr>
        <w:t xml:space="preserve">Všechny skutečnosti uvedené ve stížnosti budou řádně a </w:t>
      </w:r>
      <w:bookmarkStart w:id="1" w:name="_Ref314218391"/>
      <w:r w:rsidRPr="001C2BD1">
        <w:rPr>
          <w:rFonts w:eastAsia="Calibri" w:cs="Arial"/>
          <w:szCs w:val="22"/>
          <w:lang w:eastAsia="en-US"/>
        </w:rPr>
        <w:t>věc</w:t>
      </w:r>
      <w:r w:rsidR="001C2BD1">
        <w:rPr>
          <w:rFonts w:eastAsia="Calibri" w:cs="Arial"/>
          <w:szCs w:val="22"/>
          <w:lang w:eastAsia="en-US"/>
        </w:rPr>
        <w:t>ně prošetřeny a projednány. Nebude</w:t>
      </w:r>
      <w:r w:rsidRPr="001C2BD1">
        <w:rPr>
          <w:rFonts w:eastAsia="Calibri" w:cs="Arial"/>
          <w:szCs w:val="22"/>
          <w:lang w:eastAsia="en-US"/>
        </w:rPr>
        <w:t xml:space="preserve">-li z obsahu podané stížnosti patrné, čeho se stěžovatel domáhá, případně jaké </w:t>
      </w:r>
      <w:r w:rsidRPr="001C2BD1">
        <w:rPr>
          <w:rFonts w:eastAsia="Calibri" w:cs="Arial"/>
          <w:szCs w:val="22"/>
          <w:lang w:eastAsia="en-US"/>
        </w:rPr>
        <w:lastRenderedPageBreak/>
        <w:t>skutečnosti navrhuje prošetřit, bude vyzván k doplnění podání s upozorněním, že nebude-li ani přes výzvu doplněno ve stanovené lhůtě, bude jeho podání bez dalšího vyřízeno odložením. Po přijetí doplnění podání začíná běžet lhůta pro vyřízení stížnosti od začátku.</w:t>
      </w:r>
      <w:bookmarkEnd w:id="1"/>
      <w:r w:rsidRPr="001C2BD1">
        <w:rPr>
          <w:rFonts w:eastAsia="Calibri" w:cs="Arial"/>
          <w:szCs w:val="22"/>
          <w:lang w:eastAsia="en-US"/>
        </w:rPr>
        <w:t xml:space="preserve"> </w:t>
      </w:r>
    </w:p>
    <w:p w14:paraId="2B0AC230" w14:textId="77777777" w:rsidR="00C1781F" w:rsidRDefault="00736029" w:rsidP="001C2BD1">
      <w:pPr>
        <w:pStyle w:val="odstavec"/>
        <w:spacing w:line="276" w:lineRule="auto"/>
        <w:rPr>
          <w:rFonts w:eastAsia="Calibri" w:cs="Arial"/>
          <w:szCs w:val="22"/>
          <w:lang w:eastAsia="en-US"/>
        </w:rPr>
      </w:pPr>
      <w:r>
        <w:rPr>
          <w:rFonts w:cs="Arial"/>
        </w:rPr>
        <w:t xml:space="preserve">Tajemník Magistrátu města Zlína nebo vedoucí Odboru sociálních věcí či </w:t>
      </w:r>
      <w:r w:rsidR="00C1781F">
        <w:rPr>
          <w:rFonts w:cs="Arial"/>
        </w:rPr>
        <w:t xml:space="preserve">vedoucí oddělení sociálně právní ochrany dětí </w:t>
      </w:r>
      <w:r w:rsidR="00C1781F" w:rsidRPr="001C2BD1">
        <w:rPr>
          <w:rFonts w:cs="Arial"/>
          <w:szCs w:val="22"/>
        </w:rPr>
        <w:t>po prošetření vyhotovují stěžovateli písemnou odpověď, která obsahuje stanovisko k jejímu obsahu a způsobu jejího vyřízení. Stěžovatel je s výsledkem vyřízení stížnosti seznámen písemnou formou prostřednictvím datové schránky nebo doporučeným dopisem.</w:t>
      </w:r>
      <w:r w:rsidR="00C1781F" w:rsidRPr="00C1781F">
        <w:rPr>
          <w:rFonts w:cs="Arial"/>
          <w:szCs w:val="22"/>
        </w:rPr>
        <w:t xml:space="preserve"> </w:t>
      </w:r>
      <w:r w:rsidR="00C1781F" w:rsidRPr="001C2BD1">
        <w:rPr>
          <w:rFonts w:cs="Arial"/>
          <w:szCs w:val="22"/>
        </w:rPr>
        <w:t>Součástí vyrozumění je také poučení stěžovatele o možnosti obrátit se na nadřízený orgán v případě, že není s vyřízením své stížnosti spokojen.</w:t>
      </w:r>
    </w:p>
    <w:p w14:paraId="2B0AC231" w14:textId="77777777" w:rsidR="00C1781F" w:rsidRPr="001C2BD1" w:rsidRDefault="00C1781F" w:rsidP="00C1781F">
      <w:pPr>
        <w:spacing w:after="0"/>
        <w:jc w:val="both"/>
        <w:rPr>
          <w:rFonts w:ascii="Arial" w:hAnsi="Arial" w:cs="Arial"/>
        </w:rPr>
      </w:pPr>
      <w:r w:rsidRPr="001C2BD1">
        <w:rPr>
          <w:rFonts w:ascii="Arial" w:hAnsi="Arial" w:cs="Arial"/>
        </w:rPr>
        <w:t>V případě nespokojenosti s vyřízením stížnosti se stěžovatel může obrátit s žádostí o prošetření stížnosti na Krajský úřad Zlínského kraje a to písemně na adresu: Krajský úřad Zlínského kraje, tř. T Bati 21, 761 90 Zlín nebo elektronicky do datové schránky, ID: scsbwku.</w:t>
      </w:r>
    </w:p>
    <w:p w14:paraId="2B0AC232" w14:textId="77777777" w:rsidR="00C1781F" w:rsidRDefault="00C1781F" w:rsidP="001C2BD1">
      <w:pPr>
        <w:pStyle w:val="odstavec"/>
        <w:spacing w:line="276" w:lineRule="auto"/>
        <w:rPr>
          <w:rFonts w:eastAsia="Calibri" w:cs="Arial"/>
          <w:szCs w:val="22"/>
          <w:lang w:eastAsia="en-US"/>
        </w:rPr>
      </w:pPr>
    </w:p>
    <w:p w14:paraId="2B0AC233" w14:textId="77777777" w:rsidR="00C1781F" w:rsidRPr="00C1781F" w:rsidRDefault="00C1781F" w:rsidP="00C1781F">
      <w:pPr>
        <w:pStyle w:val="odstavec"/>
        <w:spacing w:line="276" w:lineRule="auto"/>
        <w:jc w:val="center"/>
        <w:rPr>
          <w:rFonts w:eastAsia="Calibri" w:cs="Arial"/>
          <w:b/>
          <w:szCs w:val="22"/>
          <w:lang w:eastAsia="en-US"/>
        </w:rPr>
      </w:pPr>
      <w:r w:rsidRPr="00C1781F">
        <w:rPr>
          <w:rFonts w:eastAsia="Calibri" w:cs="Arial"/>
          <w:b/>
          <w:szCs w:val="22"/>
          <w:lang w:eastAsia="en-US"/>
        </w:rPr>
        <w:t>Jak se vyřizuje anonymní stížnost?</w:t>
      </w:r>
    </w:p>
    <w:p w14:paraId="2B0AC234" w14:textId="77777777" w:rsidR="001C2BD1" w:rsidRDefault="00483B19" w:rsidP="001C2BD1">
      <w:pPr>
        <w:pStyle w:val="odstavec"/>
        <w:spacing w:line="276" w:lineRule="auto"/>
        <w:rPr>
          <w:rFonts w:eastAsia="Calibri" w:cs="Arial"/>
          <w:szCs w:val="22"/>
          <w:lang w:eastAsia="en-US"/>
        </w:rPr>
      </w:pPr>
      <w:r w:rsidRPr="001C2BD1">
        <w:rPr>
          <w:rFonts w:eastAsia="Calibri" w:cs="Arial"/>
          <w:szCs w:val="22"/>
          <w:lang w:eastAsia="en-US"/>
        </w:rPr>
        <w:t xml:space="preserve">Pokud stěžovatel zašle podání (stížnost) bez podpisu či s podpisem, ale bez uvedení adresy pro doručování a z podání nelze stěžovatele ani jiným způsobem identifikovat, považuje se tato stížnost za anonymní podání. Anonymní stížnost je prošetřena, stěžovatel s ohledem na způsob podání není vyrozuměn. </w:t>
      </w:r>
    </w:p>
    <w:p w14:paraId="2B0AC235" w14:textId="77777777" w:rsidR="00C1781F" w:rsidRDefault="00C1781F" w:rsidP="001C2BD1">
      <w:pPr>
        <w:pStyle w:val="odstavec"/>
        <w:spacing w:line="276" w:lineRule="auto"/>
        <w:rPr>
          <w:rFonts w:eastAsia="Calibri" w:cs="Arial"/>
          <w:szCs w:val="22"/>
          <w:lang w:eastAsia="en-US"/>
        </w:rPr>
      </w:pPr>
    </w:p>
    <w:p w14:paraId="2B0AC236" w14:textId="77777777" w:rsidR="00C1781F" w:rsidRPr="001C2BD1" w:rsidRDefault="00C1781F" w:rsidP="00C1781F">
      <w:pPr>
        <w:pStyle w:val="odstavec"/>
        <w:spacing w:line="276" w:lineRule="auto"/>
        <w:jc w:val="center"/>
        <w:rPr>
          <w:rFonts w:eastAsia="Calibri" w:cs="Arial"/>
          <w:b/>
          <w:szCs w:val="22"/>
          <w:lang w:eastAsia="en-US"/>
        </w:rPr>
      </w:pPr>
      <w:r w:rsidRPr="001C2BD1">
        <w:rPr>
          <w:rFonts w:eastAsia="Calibri" w:cs="Arial"/>
          <w:b/>
          <w:szCs w:val="22"/>
          <w:lang w:eastAsia="en-US"/>
        </w:rPr>
        <w:t>Lhůty pro vyřízení stížnosti</w:t>
      </w:r>
    </w:p>
    <w:p w14:paraId="2B0AC237" w14:textId="77777777" w:rsidR="004723B4" w:rsidRDefault="00D078BF">
      <w:pPr>
        <w:rPr>
          <w:rFonts w:ascii="Arial" w:hAnsi="Arial" w:cs="Arial"/>
        </w:rPr>
      </w:pPr>
      <w:r>
        <w:rPr>
          <w:rFonts w:ascii="Arial" w:hAnsi="Arial" w:cs="Arial"/>
        </w:rPr>
        <w:t xml:space="preserve">Stížnost je </w:t>
      </w:r>
      <w:r w:rsidRPr="00D078BF">
        <w:rPr>
          <w:rFonts w:ascii="Arial" w:hAnsi="Arial" w:cs="Arial"/>
        </w:rPr>
        <w:t xml:space="preserve">vyřízena </w:t>
      </w:r>
      <w:r w:rsidR="00A84E30">
        <w:rPr>
          <w:rFonts w:ascii="Arial" w:hAnsi="Arial" w:cs="Arial"/>
        </w:rPr>
        <w:t xml:space="preserve">nejpozději </w:t>
      </w:r>
      <w:r w:rsidRPr="00D078BF">
        <w:rPr>
          <w:rFonts w:ascii="Arial" w:hAnsi="Arial" w:cs="Arial"/>
        </w:rPr>
        <w:t>do 60 dnů ode dne jejího doručení</w:t>
      </w:r>
      <w:r>
        <w:rPr>
          <w:rFonts w:ascii="Arial" w:hAnsi="Arial" w:cs="Arial"/>
        </w:rPr>
        <w:t>.</w:t>
      </w:r>
    </w:p>
    <w:sectPr w:rsidR="00472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63C0"/>
    <w:multiLevelType w:val="hybridMultilevel"/>
    <w:tmpl w:val="BCF2236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E6F75E1"/>
    <w:multiLevelType w:val="hybridMultilevel"/>
    <w:tmpl w:val="33243F76"/>
    <w:lvl w:ilvl="0" w:tplc="0405000F">
      <w:start w:val="1"/>
      <w:numFmt w:val="decimal"/>
      <w:lvlText w:val="%1."/>
      <w:lvlJc w:val="left"/>
      <w:pPr>
        <w:ind w:left="360" w:hanging="360"/>
      </w:pPr>
    </w:lvl>
    <w:lvl w:ilvl="1" w:tplc="04050015">
      <w:start w:val="1"/>
      <w:numFmt w:val="upp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4220259"/>
    <w:multiLevelType w:val="hybridMultilevel"/>
    <w:tmpl w:val="8BFE0C76"/>
    <w:lvl w:ilvl="0" w:tplc="0405000D">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296B3992"/>
    <w:multiLevelType w:val="hybridMultilevel"/>
    <w:tmpl w:val="8E40D2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443E77"/>
    <w:multiLevelType w:val="hybridMultilevel"/>
    <w:tmpl w:val="1AA44A7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C170FC"/>
    <w:multiLevelType w:val="hybridMultilevel"/>
    <w:tmpl w:val="8CEE11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8F4315B"/>
    <w:multiLevelType w:val="hybridMultilevel"/>
    <w:tmpl w:val="5F4C8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3003CE"/>
    <w:multiLevelType w:val="hybridMultilevel"/>
    <w:tmpl w:val="49583E7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5A7B57F6"/>
    <w:multiLevelType w:val="hybridMultilevel"/>
    <w:tmpl w:val="656E9F7A"/>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5DCC1314"/>
    <w:multiLevelType w:val="hybridMultilevel"/>
    <w:tmpl w:val="2B884B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B5D1712"/>
    <w:multiLevelType w:val="hybridMultilevel"/>
    <w:tmpl w:val="7AB609EE"/>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7B5121BC"/>
    <w:multiLevelType w:val="hybridMultilevel"/>
    <w:tmpl w:val="D486D8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1"/>
  </w:num>
  <w:num w:numId="6">
    <w:abstractNumId w:val="10"/>
  </w:num>
  <w:num w:numId="7">
    <w:abstractNumId w:val="3"/>
  </w:num>
  <w:num w:numId="8">
    <w:abstractNumId w:val="1"/>
  </w:num>
  <w:num w:numId="9">
    <w:abstractNumId w:val="0"/>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19"/>
    <w:rsid w:val="000506E4"/>
    <w:rsid w:val="001C2BD1"/>
    <w:rsid w:val="002167DD"/>
    <w:rsid w:val="003E15B5"/>
    <w:rsid w:val="004723B4"/>
    <w:rsid w:val="004812D1"/>
    <w:rsid w:val="00483B19"/>
    <w:rsid w:val="005A7AEF"/>
    <w:rsid w:val="00695D40"/>
    <w:rsid w:val="00736029"/>
    <w:rsid w:val="008339A7"/>
    <w:rsid w:val="0093730F"/>
    <w:rsid w:val="00A84E30"/>
    <w:rsid w:val="00AA7B50"/>
    <w:rsid w:val="00B566A2"/>
    <w:rsid w:val="00C1781F"/>
    <w:rsid w:val="00CF0B39"/>
    <w:rsid w:val="00D078BF"/>
    <w:rsid w:val="00F15928"/>
    <w:rsid w:val="00FB6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C21A"/>
  <w15:docId w15:val="{193EEB50-BB49-4472-895E-0D605B89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3B19"/>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483B19"/>
    <w:rPr>
      <w:color w:val="0000FF"/>
      <w:u w:val="single"/>
    </w:rPr>
  </w:style>
  <w:style w:type="paragraph" w:customStyle="1" w:styleId="odstavec">
    <w:name w:val="odstavec"/>
    <w:basedOn w:val="Normln"/>
    <w:rsid w:val="00483B19"/>
    <w:pPr>
      <w:spacing w:after="120" w:line="240" w:lineRule="auto"/>
      <w:jc w:val="both"/>
    </w:pPr>
    <w:rPr>
      <w:rFonts w:ascii="Arial" w:eastAsia="Times New Roman" w:hAnsi="Arial"/>
      <w:szCs w:val="24"/>
      <w:lang w:eastAsia="cs-CZ"/>
    </w:rPr>
  </w:style>
  <w:style w:type="paragraph" w:customStyle="1" w:styleId="Default">
    <w:name w:val="Default"/>
    <w:rsid w:val="00AA7B50"/>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695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30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esemelov&#225;@zlin.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sta@zlin.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70F2588B-7391-4508-9784-22B44FB7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3184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Zbranková Helena</dc:creator>
  <cp:lastModifiedBy>Zbranková Helena</cp:lastModifiedBy>
  <cp:revision>3</cp:revision>
  <dcterms:created xsi:type="dcterms:W3CDTF">2020-06-10T11:56:00Z</dcterms:created>
  <dcterms:modified xsi:type="dcterms:W3CDTF">2021-12-08T06:20:00Z</dcterms:modified>
</cp:coreProperties>
</file>