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29816" w14:textId="0DE89CF6" w:rsidR="00B74CDE" w:rsidRDefault="00B74CDE" w:rsidP="00B74CDE">
      <w:pPr>
        <w:jc w:val="center"/>
        <w:rPr>
          <w:sz w:val="24"/>
          <w:szCs w:val="24"/>
        </w:rPr>
      </w:pPr>
      <w:r>
        <w:rPr>
          <w:b/>
          <w:bCs/>
          <w:sz w:val="24"/>
          <w:szCs w:val="24"/>
        </w:rPr>
        <w:t>Magistrát města Zlína, Odbor stavebních a dopravních řízení (stavební úřad),</w:t>
      </w:r>
      <w:r>
        <w:rPr>
          <w:b/>
          <w:bCs/>
          <w:sz w:val="24"/>
          <w:szCs w:val="24"/>
        </w:rPr>
        <w:br/>
      </w:r>
      <w:r>
        <w:rPr>
          <w:sz w:val="24"/>
          <w:szCs w:val="24"/>
        </w:rPr>
        <w:t>náměstí Míru 12, 760 01 Zlín</w:t>
      </w:r>
    </w:p>
    <w:tbl>
      <w:tblPr>
        <w:tblW w:w="9568" w:type="dxa"/>
        <w:tblLayout w:type="fixed"/>
        <w:tblCellMar>
          <w:left w:w="70" w:type="dxa"/>
          <w:right w:w="70" w:type="dxa"/>
        </w:tblCellMar>
        <w:tblLook w:val="0000" w:firstRow="0" w:lastRow="0" w:firstColumn="0" w:lastColumn="0" w:noHBand="0" w:noVBand="0"/>
      </w:tblPr>
      <w:tblGrid>
        <w:gridCol w:w="9568"/>
      </w:tblGrid>
      <w:tr w:rsidR="00B74CDE" w14:paraId="02DCEE9B" w14:textId="77777777" w:rsidTr="0044354C">
        <w:tc>
          <w:tcPr>
            <w:tcW w:w="9568" w:type="dxa"/>
            <w:tcBorders>
              <w:top w:val="single" w:sz="6" w:space="0" w:color="auto"/>
              <w:left w:val="nil"/>
              <w:bottom w:val="nil"/>
              <w:right w:val="nil"/>
            </w:tcBorders>
          </w:tcPr>
          <w:p w14:paraId="257133CC" w14:textId="77777777" w:rsidR="00B74CDE" w:rsidRDefault="00B74CDE" w:rsidP="0044354C">
            <w:pPr>
              <w:jc w:val="center"/>
              <w:rPr>
                <w:sz w:val="16"/>
                <w:szCs w:val="16"/>
              </w:rPr>
            </w:pPr>
          </w:p>
        </w:tc>
      </w:tr>
    </w:tbl>
    <w:p w14:paraId="70BA6D73" w14:textId="614EC84C" w:rsidR="00B74CDE" w:rsidRDefault="00B74CDE" w:rsidP="00B74CDE">
      <w:pPr>
        <w:tabs>
          <w:tab w:val="right" w:pos="9923"/>
        </w:tabs>
      </w:pPr>
      <w:r>
        <w:t>Spisová značka: MMZL-SÚ-174035/2026/Př</w:t>
      </w:r>
    </w:p>
    <w:p w14:paraId="3B05B703" w14:textId="13DC545B" w:rsidR="00B74CDE" w:rsidRDefault="00B74CDE" w:rsidP="00B74CDE">
      <w:pPr>
        <w:tabs>
          <w:tab w:val="right" w:pos="9356"/>
        </w:tabs>
      </w:pPr>
      <w:r>
        <w:t>Číslo jednací dokumentu: MMZL 236297/2026</w:t>
      </w:r>
      <w:r>
        <w:tab/>
        <w:t>Zlín, dne 25.8.2026</w:t>
      </w:r>
    </w:p>
    <w:p w14:paraId="7F5818FA" w14:textId="19A40822" w:rsidR="00B74CDE" w:rsidRDefault="00B74CDE" w:rsidP="00B74CDE">
      <w:r>
        <w:t>Oprávněná úřední osoba: Ing. Přívarová Michaela, tel. 577 630 121</w:t>
      </w:r>
    </w:p>
    <w:p w14:paraId="70743751" w14:textId="26B29302" w:rsidR="0025060E" w:rsidRDefault="0025060E" w:rsidP="00B74CDE">
      <w:r>
        <w:t>Z/2026/62341</w:t>
      </w:r>
    </w:p>
    <w:p w14:paraId="71C327D4" w14:textId="3DE07847" w:rsidR="0025060E" w:rsidRDefault="0025060E" w:rsidP="00B74CDE">
      <w:pPr>
        <w:sectPr w:rsidR="0025060E" w:rsidSect="00B74CDE">
          <w:headerReference w:type="default" r:id="rId7"/>
          <w:type w:val="continuous"/>
          <w:pgSz w:w="11906" w:h="16838"/>
          <w:pgMar w:top="851" w:right="1133" w:bottom="851" w:left="1418" w:header="709" w:footer="709" w:gutter="0"/>
          <w:cols w:space="709"/>
          <w:titlePg/>
        </w:sectPr>
      </w:pPr>
      <w:r>
        <w:t>R/2026/143454</w:t>
      </w:r>
    </w:p>
    <w:p w14:paraId="66DBD757" w14:textId="3908E287" w:rsidR="00B74CDE" w:rsidRDefault="00B74CDE" w:rsidP="00B74CDE">
      <w:r>
        <w:br/>
        <w:t>Statutární město Zlín</w:t>
      </w:r>
      <w:r w:rsidR="00207798">
        <w:t xml:space="preserve">, </w:t>
      </w:r>
      <w:r>
        <w:t>náměstí Míru 12</w:t>
      </w:r>
      <w:r w:rsidR="00207798">
        <w:t xml:space="preserve">, </w:t>
      </w:r>
      <w:r>
        <w:t>760 01  Zlín 1</w:t>
      </w:r>
    </w:p>
    <w:p w14:paraId="3162C7FA" w14:textId="309D0F59" w:rsidR="00B97FDC" w:rsidRDefault="00B97FDC" w:rsidP="00B97FDC">
      <w:pPr>
        <w:jc w:val="center"/>
        <w:rPr>
          <w:sz w:val="24"/>
          <w:szCs w:val="24"/>
        </w:rPr>
      </w:pPr>
    </w:p>
    <w:p w14:paraId="53438E2E" w14:textId="77777777" w:rsidR="00207798" w:rsidRPr="000B23DA" w:rsidRDefault="00207798" w:rsidP="00B97FDC">
      <w:pPr>
        <w:jc w:val="center"/>
        <w:rPr>
          <w:sz w:val="24"/>
          <w:szCs w:val="24"/>
        </w:rPr>
      </w:pPr>
    </w:p>
    <w:p w14:paraId="7ECB5643" w14:textId="77777777" w:rsidR="00B77EE8" w:rsidRPr="00DF1182" w:rsidRDefault="00B77EE8" w:rsidP="00B77EE8">
      <w:pPr>
        <w:pStyle w:val="Nadpis1"/>
      </w:pPr>
      <w:r>
        <w:t>VYROZUMĚ</w:t>
      </w:r>
      <w:r w:rsidRPr="00DF1182">
        <w:t>NÍ</w:t>
      </w:r>
    </w:p>
    <w:p w14:paraId="59B948D7" w14:textId="77777777" w:rsidR="00B77EE8" w:rsidRPr="000541F2" w:rsidRDefault="00B77EE8" w:rsidP="00B77EE8">
      <w:pPr>
        <w:pStyle w:val="Nadpis1"/>
        <w:rPr>
          <w:sz w:val="22"/>
          <w:szCs w:val="22"/>
        </w:rPr>
      </w:pPr>
      <w:r w:rsidRPr="000541F2">
        <w:rPr>
          <w:sz w:val="22"/>
          <w:szCs w:val="22"/>
        </w:rPr>
        <w:t>O ZAHÁJENÍ ŘÍZENÍ</w:t>
      </w:r>
    </w:p>
    <w:p w14:paraId="6C5C31AC" w14:textId="77777777" w:rsidR="00DC0532" w:rsidRPr="00E22583" w:rsidRDefault="00DC0532" w:rsidP="00DC0532">
      <w:pPr>
        <w:spacing w:before="120"/>
        <w:jc w:val="center"/>
      </w:pPr>
      <w:r w:rsidRPr="00E22583">
        <w:t>VEŘEJNÁ VYHLÁŠKA</w:t>
      </w:r>
    </w:p>
    <w:p w14:paraId="4A962961" w14:textId="77777777" w:rsidR="0050781C" w:rsidRPr="00DF1182" w:rsidRDefault="0050781C" w:rsidP="0050781C">
      <w:pPr>
        <w:spacing w:before="120"/>
      </w:pPr>
    </w:p>
    <w:p w14:paraId="7DBE4FB7" w14:textId="113758D6" w:rsidR="0050781C" w:rsidRPr="00DF1182" w:rsidRDefault="00B74CDE" w:rsidP="0050781C">
      <w:pPr>
        <w:spacing w:before="120"/>
        <w:rPr>
          <w:b/>
          <w:bCs/>
        </w:rPr>
      </w:pPr>
      <w:r>
        <w:rPr>
          <w:b/>
          <w:bCs/>
        </w:rPr>
        <w:t>Statutární město Zlín, náměstí Míru 12, 760 01  Zlín 1,</w:t>
      </w:r>
      <w:r>
        <w:rPr>
          <w:b/>
          <w:bCs/>
        </w:rPr>
        <w:br/>
        <w:t>které zastupuje Bc. David Čech, Nivy II 5577, 760 01  Zlín 1</w:t>
      </w:r>
    </w:p>
    <w:p w14:paraId="56E2074D" w14:textId="00450196" w:rsidR="00B77EE8" w:rsidRPr="00DF1182" w:rsidRDefault="00B77EE8" w:rsidP="00B77EE8">
      <w:pPr>
        <w:spacing w:before="120"/>
        <w:jc w:val="both"/>
      </w:pPr>
      <w:r w:rsidRPr="00DF1182">
        <w:t xml:space="preserve">(dále jen </w:t>
      </w:r>
      <w:r>
        <w:t>"</w:t>
      </w:r>
      <w:r w:rsidRPr="00DF1182">
        <w:t>stavebník</w:t>
      </w:r>
      <w:r>
        <w:t>"</w:t>
      </w:r>
      <w:r w:rsidRPr="00DF1182">
        <w:t xml:space="preserve">) dne </w:t>
      </w:r>
      <w:r w:rsidR="00B74CDE">
        <w:t>30.3.2026</w:t>
      </w:r>
      <w:r w:rsidRPr="00DF1182">
        <w:t xml:space="preserve"> podal žádost o povolení </w:t>
      </w:r>
      <w:r>
        <w:t xml:space="preserve">změny </w:t>
      </w:r>
      <w:r w:rsidR="00B721A9">
        <w:t>využití území</w:t>
      </w:r>
      <w:r w:rsidRPr="00DF1182">
        <w:t>:</w:t>
      </w:r>
    </w:p>
    <w:p w14:paraId="383EF10F" w14:textId="57BBA25C" w:rsidR="00B77EE8" w:rsidRDefault="00207798" w:rsidP="00B77EE8">
      <w:pPr>
        <w:spacing w:before="120"/>
        <w:ind w:left="426"/>
        <w:rPr>
          <w:b/>
          <w:bCs/>
        </w:rPr>
      </w:pPr>
      <w:r>
        <w:rPr>
          <w:b/>
          <w:bCs/>
        </w:rPr>
        <w:t xml:space="preserve">                                           „</w:t>
      </w:r>
      <w:r w:rsidR="00B74CDE">
        <w:rPr>
          <w:b/>
          <w:bCs/>
        </w:rPr>
        <w:t>Výběhová loučka pro psy - Družba"</w:t>
      </w:r>
      <w:r w:rsidR="00B74CDE">
        <w:rPr>
          <w:b/>
          <w:bCs/>
        </w:rPr>
        <w:br/>
      </w:r>
      <w:r>
        <w:rPr>
          <w:b/>
          <w:bCs/>
        </w:rPr>
        <w:t xml:space="preserve">                                                          </w:t>
      </w:r>
      <w:r w:rsidR="00B74CDE">
        <w:rPr>
          <w:b/>
          <w:bCs/>
        </w:rPr>
        <w:t>Zlín</w:t>
      </w:r>
      <w:r>
        <w:rPr>
          <w:b/>
          <w:bCs/>
        </w:rPr>
        <w:t>, tř. Tomáše Bati</w:t>
      </w:r>
      <w:r w:rsidR="00B74CDE">
        <w:rPr>
          <w:b/>
          <w:bCs/>
        </w:rPr>
        <w:br/>
      </w:r>
    </w:p>
    <w:p w14:paraId="61B2AF5A" w14:textId="2952A5CA" w:rsidR="00B77EE8" w:rsidRPr="004A1BAD" w:rsidRDefault="00B77EE8" w:rsidP="00B77EE8">
      <w:pPr>
        <w:spacing w:before="120"/>
        <w:jc w:val="both"/>
      </w:pPr>
      <w:r w:rsidRPr="004A1BAD">
        <w:t xml:space="preserve">(dále jen </w:t>
      </w:r>
      <w:r>
        <w:t>"</w:t>
      </w:r>
      <w:r w:rsidR="002A4861">
        <w:t>změna</w:t>
      </w:r>
      <w:r>
        <w:t>"</w:t>
      </w:r>
      <w:r w:rsidRPr="004A1BAD">
        <w:t xml:space="preserve">) </w:t>
      </w:r>
      <w:r w:rsidRPr="00DF1182">
        <w:t xml:space="preserve">na pozemku </w:t>
      </w:r>
      <w:r w:rsidR="00B74CDE">
        <w:t>parc. č. 673/1 v katastrálním území Zlín</w:t>
      </w:r>
      <w:r w:rsidRPr="004A1BAD">
        <w:t>.</w:t>
      </w:r>
      <w:r>
        <w:t xml:space="preserve"> Řízení o povolení změny bylo zahájeno dnem </w:t>
      </w:r>
      <w:r w:rsidR="000A007A">
        <w:t>podání žádosti</w:t>
      </w:r>
      <w:r w:rsidRPr="00DF1182">
        <w:t>.</w:t>
      </w:r>
    </w:p>
    <w:p w14:paraId="62346496" w14:textId="77777777" w:rsidR="00FE7F07" w:rsidRDefault="00FE7F07" w:rsidP="00FE7F07"/>
    <w:p w14:paraId="56DB46C8" w14:textId="26925307" w:rsidR="00FE7F07" w:rsidRPr="00FE7F07" w:rsidRDefault="00FE7F07" w:rsidP="00FE7F07">
      <w:pPr>
        <w:jc w:val="both"/>
      </w:pPr>
      <w:r w:rsidRPr="00FE7F07">
        <w:t xml:space="preserve">Jelikož žádost nebyla úplná a neobsahovala požadované náležitosti podle § 184 stavebního zákona, vyzval stavební úřad dne </w:t>
      </w:r>
      <w:r>
        <w:t>23.6.2026</w:t>
      </w:r>
      <w:r w:rsidRPr="00FE7F07">
        <w:t xml:space="preserve"> stavebníka podle § 185 odst. 2 stavebního zákona k jejímu doplnění ve stanovené lhůtě a zároveň řízení přerušil. Ve stanovené lhůtě byla žádost doplněna. </w:t>
      </w:r>
    </w:p>
    <w:p w14:paraId="55220020" w14:textId="77777777" w:rsidR="00B77EE8" w:rsidRDefault="00B77EE8" w:rsidP="00B77EE8"/>
    <w:p w14:paraId="27EEBD6F" w14:textId="77777777" w:rsidR="00B721A9" w:rsidRPr="007B124E" w:rsidRDefault="00B721A9" w:rsidP="00B721A9">
      <w:pPr>
        <w:spacing w:before="120"/>
        <w:jc w:val="both"/>
        <w:rPr>
          <w:b/>
          <w:bCs/>
        </w:rPr>
      </w:pPr>
      <w:bookmarkStart w:id="0" w:name="_Hlk178879853"/>
      <w:r w:rsidRPr="007B124E">
        <w:rPr>
          <w:b/>
          <w:bCs/>
        </w:rPr>
        <w:t>Plošné vymezení území:</w:t>
      </w:r>
    </w:p>
    <w:p w14:paraId="0CE62338" w14:textId="399FE33F" w:rsidR="00B721A9" w:rsidRDefault="007B124E" w:rsidP="007B124E">
      <w:pPr>
        <w:spacing w:before="120"/>
        <w:jc w:val="both"/>
      </w:pPr>
      <w:r>
        <w:t>P</w:t>
      </w:r>
      <w:r w:rsidRPr="00DF1182">
        <w:t>ozem</w:t>
      </w:r>
      <w:r>
        <w:t>e</w:t>
      </w:r>
      <w:r w:rsidRPr="00DF1182">
        <w:t xml:space="preserve">k </w:t>
      </w:r>
      <w:r>
        <w:t>parc. č. 673/1 v katastrálním území Zlín, druh</w:t>
      </w:r>
      <w:r w:rsidR="00DC0532">
        <w:t xml:space="preserve"> </w:t>
      </w:r>
      <w:r w:rsidR="00274736">
        <w:t xml:space="preserve">ostatní plocha. </w:t>
      </w:r>
      <w:r w:rsidR="00DC0532">
        <w:t>Maximální půdorysné rozměry loučky budou 86,0 x 32,00 m, oplocení bude umístěno ve vzdálenosti 1,0 m od hranic pozemku</w:t>
      </w:r>
      <w:r w:rsidR="00EB7665">
        <w:t xml:space="preserve"> a od stávající cyklostezky. </w:t>
      </w:r>
      <w:r w:rsidR="00DC0532">
        <w:t xml:space="preserve"> </w:t>
      </w:r>
      <w:r>
        <w:t xml:space="preserve"> </w:t>
      </w:r>
    </w:p>
    <w:p w14:paraId="39B4C464" w14:textId="77777777" w:rsidR="00FE7F07" w:rsidRDefault="00FE7F07" w:rsidP="00B721A9">
      <w:pPr>
        <w:spacing w:before="120"/>
        <w:jc w:val="both"/>
        <w:rPr>
          <w:b/>
          <w:bCs/>
        </w:rPr>
      </w:pPr>
    </w:p>
    <w:p w14:paraId="73E1D14A" w14:textId="2E9F8B6E" w:rsidR="00B721A9" w:rsidRPr="007B124E" w:rsidRDefault="00B721A9" w:rsidP="00B721A9">
      <w:pPr>
        <w:spacing w:before="120"/>
        <w:jc w:val="both"/>
        <w:rPr>
          <w:b/>
          <w:bCs/>
        </w:rPr>
      </w:pPr>
      <w:r w:rsidRPr="007B124E">
        <w:rPr>
          <w:b/>
          <w:bCs/>
        </w:rPr>
        <w:t>Určení nového využití území:</w:t>
      </w:r>
    </w:p>
    <w:bookmarkEnd w:id="0"/>
    <w:p w14:paraId="3926FBB2" w14:textId="1F4615AE" w:rsidR="00B721A9" w:rsidRDefault="007B124E" w:rsidP="007B124E">
      <w:pPr>
        <w:spacing w:before="120"/>
        <w:jc w:val="both"/>
      </w:pPr>
      <w:r>
        <w:t>Výběhová loučka pro psy.</w:t>
      </w:r>
    </w:p>
    <w:p w14:paraId="0B123578" w14:textId="3E25DB8F" w:rsidR="00DC0532" w:rsidRDefault="00207798" w:rsidP="00FE7F07">
      <w:pPr>
        <w:jc w:val="both"/>
      </w:pPr>
      <w:r w:rsidRPr="00207798">
        <w:t>Předmětem řešení je změna využití území části pozemku parc.č. 673/</w:t>
      </w:r>
      <w:r w:rsidR="00FE7F07">
        <w:t>1</w:t>
      </w:r>
      <w:r w:rsidRPr="00207798">
        <w:t xml:space="preserve"> v</w:t>
      </w:r>
      <w:r w:rsidR="00FE7F07">
        <w:t> </w:t>
      </w:r>
      <w:r w:rsidRPr="00207798">
        <w:t>k</w:t>
      </w:r>
      <w:r w:rsidR="00FE7F07">
        <w:t>atastrálním území Zlín</w:t>
      </w:r>
      <w:r w:rsidRPr="00207798">
        <w:t xml:space="preserve"> na výběhovou loučku pro</w:t>
      </w:r>
      <w:r>
        <w:t xml:space="preserve"> </w:t>
      </w:r>
      <w:r w:rsidRPr="00207798">
        <w:t xml:space="preserve">psy. Plocha bude ohraničena novým plotem </w:t>
      </w:r>
      <w:r w:rsidR="00DC0532">
        <w:t xml:space="preserve">z </w:t>
      </w:r>
      <w:r w:rsidRPr="00207798">
        <w:t>drátěné</w:t>
      </w:r>
      <w:r w:rsidR="00DC0532">
        <w:t>ho</w:t>
      </w:r>
      <w:r w:rsidRPr="00207798">
        <w:t xml:space="preserve"> pletiv</w:t>
      </w:r>
      <w:r w:rsidR="00DC0532">
        <w:t>a</w:t>
      </w:r>
      <w:r w:rsidRPr="00207798">
        <w:t xml:space="preserve"> na ocelových sloupcích výšky 1,6</w:t>
      </w:r>
      <w:r w:rsidR="007B124E">
        <w:t xml:space="preserve"> </w:t>
      </w:r>
      <w:r w:rsidRPr="00207798">
        <w:t>m, na</w:t>
      </w:r>
      <w:r w:rsidR="00DC0532">
        <w:t xml:space="preserve"> </w:t>
      </w:r>
      <w:r w:rsidRPr="00207798">
        <w:t>severní stran</w:t>
      </w:r>
      <w:r w:rsidR="007B124E">
        <w:t>ě</w:t>
      </w:r>
      <w:r w:rsidRPr="00207798">
        <w:t xml:space="preserve"> bude </w:t>
      </w:r>
      <w:r w:rsidR="00DC0532">
        <w:t xml:space="preserve">obsahovat </w:t>
      </w:r>
      <w:r w:rsidRPr="00207798">
        <w:t>2</w:t>
      </w:r>
      <w:r w:rsidR="007B124E">
        <w:t xml:space="preserve"> </w:t>
      </w:r>
      <w:r w:rsidRPr="00207798">
        <w:t>x brank</w:t>
      </w:r>
      <w:r w:rsidR="00DC0532">
        <w:t>u š.</w:t>
      </w:r>
      <w:r w:rsidRPr="00207798">
        <w:t xml:space="preserve"> 1,2</w:t>
      </w:r>
      <w:r w:rsidR="007B124E">
        <w:t xml:space="preserve"> </w:t>
      </w:r>
      <w:r w:rsidRPr="00207798">
        <w:t>m a 2</w:t>
      </w:r>
      <w:r w:rsidR="007B124E">
        <w:t xml:space="preserve"> </w:t>
      </w:r>
      <w:r w:rsidRPr="00207798">
        <w:t>x brán</w:t>
      </w:r>
      <w:r w:rsidR="00DC0532">
        <w:t>u</w:t>
      </w:r>
      <w:r w:rsidRPr="00207798">
        <w:t xml:space="preserve"> </w:t>
      </w:r>
      <w:r w:rsidR="00DC0532">
        <w:t xml:space="preserve">š. </w:t>
      </w:r>
      <w:r w:rsidRPr="00207798">
        <w:t>3,0</w:t>
      </w:r>
      <w:r w:rsidR="007B124E">
        <w:t xml:space="preserve"> </w:t>
      </w:r>
      <w:r w:rsidRPr="00207798">
        <w:t xml:space="preserve">m. </w:t>
      </w:r>
    </w:p>
    <w:p w14:paraId="31BB2748" w14:textId="2EE39AB2" w:rsidR="00DC0532" w:rsidRDefault="00207798" w:rsidP="00FE7F07">
      <w:pPr>
        <w:jc w:val="both"/>
      </w:pPr>
      <w:r w:rsidRPr="00207798">
        <w:t>Uvnitř bude provedena ochrana stávajících stromů,</w:t>
      </w:r>
      <w:r w:rsidR="00DC0532">
        <w:t xml:space="preserve"> budou </w:t>
      </w:r>
      <w:r w:rsidRPr="00207798">
        <w:t xml:space="preserve">osazeny </w:t>
      </w:r>
      <w:r w:rsidR="00DC0532">
        <w:t xml:space="preserve">lavičky, </w:t>
      </w:r>
      <w:r w:rsidR="00DC0532" w:rsidRPr="00DC0532">
        <w:t xml:space="preserve">herní prvky pro psy – venkovní prvky agility </w:t>
      </w:r>
      <w:r w:rsidR="00DC0532">
        <w:t>(</w:t>
      </w:r>
      <w:r w:rsidR="00DC0532" w:rsidRPr="00DC0532">
        <w:t xml:space="preserve"> skokové prvky,</w:t>
      </w:r>
      <w:r w:rsidR="00DC0532">
        <w:t xml:space="preserve"> </w:t>
      </w:r>
      <w:r w:rsidR="00DC0532" w:rsidRPr="00DC0532">
        <w:t xml:space="preserve">slalom, kladina, kruh </w:t>
      </w:r>
      <w:r w:rsidR="00DC0532">
        <w:t>)</w:t>
      </w:r>
      <w:r w:rsidRPr="00207798">
        <w:t>, odpadkové koše, informační tabule a bude rovněž vybudováno pítko pro psy.</w:t>
      </w:r>
    </w:p>
    <w:p w14:paraId="709B0320" w14:textId="4D64C9D3" w:rsidR="00B77EE8" w:rsidRDefault="00207798" w:rsidP="00FE7F07">
      <w:pPr>
        <w:jc w:val="both"/>
      </w:pPr>
      <w:r w:rsidRPr="00207798">
        <w:t>Pro pítko je navržena vodovodní přípojka z trub PE 32 v délce 3,0</w:t>
      </w:r>
      <w:r w:rsidR="00FE7F07">
        <w:t xml:space="preserve"> </w:t>
      </w:r>
      <w:r w:rsidRPr="00207798">
        <w:t>m s napojením na stávající vodovodní</w:t>
      </w:r>
      <w:r w:rsidRPr="00207798">
        <w:br/>
        <w:t>řad pro veřejnou potřebu LT 80 a s umístěním vodoměru ve vodoměrné šachtě. V zimním období se</w:t>
      </w:r>
      <w:r w:rsidRPr="00207798">
        <w:br/>
        <w:t>předpokládá odstavení pítka.</w:t>
      </w:r>
    </w:p>
    <w:p w14:paraId="6985FB55" w14:textId="77777777" w:rsidR="00207798" w:rsidRDefault="00207798" w:rsidP="00B77EE8">
      <w:pPr>
        <w:jc w:val="both"/>
      </w:pPr>
    </w:p>
    <w:p w14:paraId="3DD4AE94" w14:textId="35075A68" w:rsidR="00207798" w:rsidRDefault="00DC0532" w:rsidP="00B77EE8">
      <w:pPr>
        <w:jc w:val="both"/>
      </w:pPr>
      <w:r>
        <w:t>Lavičky, herní prvky, odpadkové koše a informační tabule jsou prvky městského mobiliáře a nejsou stavbou ve smyslu stavebního zákona.</w:t>
      </w:r>
    </w:p>
    <w:p w14:paraId="4DCAE0E1" w14:textId="4D75DE0E" w:rsidR="00207798" w:rsidRDefault="00207798" w:rsidP="00B77EE8">
      <w:pPr>
        <w:jc w:val="both"/>
      </w:pPr>
      <w:r>
        <w:t>Oplocení a vodovodní přípojka jsou dle přílohy č. 1 zákona č. 283/2021 Sb., stavební zákon, ve znění pozdějších předpisů</w:t>
      </w:r>
      <w:r w:rsidRPr="000541F2">
        <w:t xml:space="preserve"> (dále jen </w:t>
      </w:r>
      <w:r>
        <w:t>"</w:t>
      </w:r>
      <w:r w:rsidRPr="000541F2">
        <w:t>stavební zákon</w:t>
      </w:r>
      <w:r>
        <w:t>"</w:t>
      </w:r>
      <w:r w:rsidRPr="000541F2">
        <w:t>)</w:t>
      </w:r>
      <w:r>
        <w:t xml:space="preserve"> drobnými stavbami, které v souvislosti s § 171 stavebního zákona nevyžadují povolení a proto nejsou předmětem tohoto řízení. </w:t>
      </w:r>
    </w:p>
    <w:p w14:paraId="61C75AB8" w14:textId="77777777" w:rsidR="00207798" w:rsidRPr="000541F2" w:rsidRDefault="00207798" w:rsidP="00B77EE8">
      <w:pPr>
        <w:jc w:val="both"/>
      </w:pPr>
    </w:p>
    <w:p w14:paraId="33AD5293" w14:textId="568800CB" w:rsidR="00EB7665" w:rsidRPr="00FE7F07" w:rsidRDefault="00B74CDE" w:rsidP="00FE7F07">
      <w:pPr>
        <w:spacing w:before="120"/>
        <w:jc w:val="both"/>
      </w:pPr>
      <w:r>
        <w:lastRenderedPageBreak/>
        <w:t>Odbor stavebních a dopravních řízení Magistrátu města Zlína (dále jen "stavební úřad")</w:t>
      </w:r>
      <w:r w:rsidR="00B77EE8" w:rsidRPr="000541F2">
        <w:t xml:space="preserve">, jako stavební úřad příslušný podle </w:t>
      </w:r>
      <w:r>
        <w:t>§ 30 odst. 1 písm. f) a § 30 odst. 3 písm. a)</w:t>
      </w:r>
      <w:r w:rsidR="00B77EE8" w:rsidRPr="000541F2">
        <w:t xml:space="preserve"> </w:t>
      </w:r>
      <w:r>
        <w:t>zákona č. 283/2021 Sb., stavební zákon, ve znění pozdějších předpisů</w:t>
      </w:r>
      <w:r w:rsidR="00B77EE8" w:rsidRPr="000541F2">
        <w:t xml:space="preserve"> (dále jen </w:t>
      </w:r>
      <w:r w:rsidR="00B77EE8">
        <w:t>"</w:t>
      </w:r>
      <w:r w:rsidR="00B77EE8" w:rsidRPr="000541F2">
        <w:t>stavební zákon</w:t>
      </w:r>
      <w:r w:rsidR="00B77EE8">
        <w:t>"</w:t>
      </w:r>
      <w:r w:rsidR="00B77EE8" w:rsidRPr="000541F2">
        <w:t>)</w:t>
      </w:r>
      <w:r>
        <w:t>,</w:t>
      </w:r>
      <w:r w:rsidR="00B77EE8" w:rsidRPr="000541F2">
        <w:t xml:space="preserve"> </w:t>
      </w:r>
      <w:r w:rsidR="00B77EE8">
        <w:t>vyrozumívá</w:t>
      </w:r>
      <w:r w:rsidR="00B77EE8" w:rsidRPr="000541F2">
        <w:t xml:space="preserve"> podle § 1</w:t>
      </w:r>
      <w:r w:rsidR="00B77EE8">
        <w:t>88</w:t>
      </w:r>
      <w:r w:rsidR="00B77EE8" w:rsidRPr="000541F2">
        <w:t xml:space="preserve"> </w:t>
      </w:r>
      <w:r>
        <w:t>stavebního zákona</w:t>
      </w:r>
      <w:r w:rsidR="00B77EE8" w:rsidRPr="000541F2">
        <w:t xml:space="preserve"> </w:t>
      </w:r>
      <w:r w:rsidR="00B77EE8" w:rsidRPr="00967ADA">
        <w:rPr>
          <w:color w:val="000000"/>
        </w:rPr>
        <w:t>účastníky řízení</w:t>
      </w:r>
      <w:r w:rsidR="00B721A9">
        <w:rPr>
          <w:color w:val="000000"/>
        </w:rPr>
        <w:t xml:space="preserve"> a</w:t>
      </w:r>
      <w:r w:rsidR="00B77EE8" w:rsidRPr="00967ADA">
        <w:rPr>
          <w:color w:val="000000"/>
        </w:rPr>
        <w:t xml:space="preserve"> dotčené orgány </w:t>
      </w:r>
      <w:r w:rsidR="00B77EE8">
        <w:rPr>
          <w:color w:val="000000"/>
        </w:rPr>
        <w:t>o z</w:t>
      </w:r>
      <w:r w:rsidR="00B77EE8" w:rsidRPr="00DF1182">
        <w:t>ahájení řízení</w:t>
      </w:r>
      <w:r w:rsidR="00B77EE8">
        <w:t xml:space="preserve"> podle § 2</w:t>
      </w:r>
      <w:r w:rsidR="00B721A9">
        <w:t>15</w:t>
      </w:r>
      <w:r w:rsidR="00207798">
        <w:t xml:space="preserve"> </w:t>
      </w:r>
      <w:r>
        <w:t>stavebního zákona</w:t>
      </w:r>
      <w:r w:rsidR="00B77EE8" w:rsidRPr="000541F2">
        <w:t xml:space="preserve">. </w:t>
      </w:r>
      <w:r w:rsidR="00B77EE8" w:rsidRPr="000541F2">
        <w:rPr>
          <w:color w:val="000000"/>
        </w:rPr>
        <w:t>Dotčené orgány mohou uplatnit závazná stanoviska a účastníci řízení své námitky</w:t>
      </w:r>
      <w:r w:rsidR="00B77EE8" w:rsidRPr="000541F2">
        <w:t xml:space="preserve"> do</w:t>
      </w:r>
    </w:p>
    <w:p w14:paraId="3695592E" w14:textId="13155011" w:rsidR="00B77EE8" w:rsidRPr="000541F2" w:rsidRDefault="00B74CDE" w:rsidP="00B77EE8">
      <w:pPr>
        <w:spacing w:before="120"/>
        <w:jc w:val="center"/>
        <w:rPr>
          <w:b/>
          <w:bCs/>
        </w:rPr>
      </w:pPr>
      <w:r>
        <w:rPr>
          <w:b/>
          <w:bCs/>
        </w:rPr>
        <w:t>15 dnů od doručení tohoto oznámení</w:t>
      </w:r>
      <w:r w:rsidR="00B77EE8" w:rsidRPr="000541F2">
        <w:rPr>
          <w:b/>
          <w:bCs/>
        </w:rPr>
        <w:t>.</w:t>
      </w:r>
    </w:p>
    <w:p w14:paraId="405309E2" w14:textId="366EB594" w:rsidR="001E7879" w:rsidRPr="000B23DA" w:rsidRDefault="008A0AA0" w:rsidP="001E7879">
      <w:pPr>
        <w:spacing w:before="120"/>
        <w:jc w:val="both"/>
      </w:pPr>
      <w:r w:rsidRPr="000541F2">
        <w:rPr>
          <w:color w:val="000000"/>
        </w:rPr>
        <w:t>K později uplatněným závazným stanoviskům</w:t>
      </w:r>
      <w:r>
        <w:rPr>
          <w:color w:val="000000"/>
        </w:rPr>
        <w:t xml:space="preserve"> a</w:t>
      </w:r>
      <w:r w:rsidRPr="000541F2">
        <w:rPr>
          <w:color w:val="000000"/>
        </w:rPr>
        <w:t xml:space="preserve"> námitkám nebude přihlédnuto.</w:t>
      </w:r>
      <w:r w:rsidRPr="000541F2">
        <w:t xml:space="preserve"> Účastníci řízení mohou nahlížet do podkladů rozhodnutí (</w:t>
      </w:r>
      <w:r w:rsidR="00B74CDE">
        <w:t>Odbor stavebních a dopravních řízení Magistrátu města Zlína (dále jen "stavební úřad")</w:t>
      </w:r>
      <w:r w:rsidRPr="000541F2">
        <w:t xml:space="preserve">, úřední dny </w:t>
      </w:r>
      <w:r w:rsidR="00B74CDE">
        <w:t>pondělí a středa 8 - 17 hodin</w:t>
      </w:r>
      <w:r w:rsidRPr="000541F2">
        <w:t>).</w:t>
      </w:r>
    </w:p>
    <w:p w14:paraId="5A0983BB" w14:textId="77777777" w:rsidR="00EB7665" w:rsidRDefault="00EB7665" w:rsidP="00B164CE">
      <w:pPr>
        <w:spacing w:before="120"/>
        <w:rPr>
          <w:b/>
          <w:bCs/>
        </w:rPr>
      </w:pPr>
    </w:p>
    <w:p w14:paraId="6F6EF31B" w14:textId="1B45A64C" w:rsidR="00B164CE" w:rsidRPr="007654B5" w:rsidRDefault="00DC0532" w:rsidP="00B164CE">
      <w:pPr>
        <w:spacing w:before="120"/>
        <w:rPr>
          <w:b/>
          <w:bCs/>
        </w:rPr>
      </w:pPr>
      <w:r>
        <w:rPr>
          <w:b/>
          <w:bCs/>
        </w:rPr>
        <w:t>P</w:t>
      </w:r>
      <w:r w:rsidR="00B164CE" w:rsidRPr="007654B5">
        <w:rPr>
          <w:b/>
          <w:bCs/>
        </w:rPr>
        <w:t>oučení:</w:t>
      </w:r>
    </w:p>
    <w:p w14:paraId="0E715364" w14:textId="77777777" w:rsidR="00B164CE" w:rsidRPr="007654B5" w:rsidRDefault="00B164CE" w:rsidP="00B164CE">
      <w:pPr>
        <w:spacing w:before="120"/>
      </w:pPr>
      <w:r w:rsidRPr="007654B5">
        <w:rPr>
          <w:b/>
          <w:bCs/>
        </w:rPr>
        <w:t>Námitky účastníků řízení dle ust. § 190 stavebního zákona:</w:t>
      </w:r>
    </w:p>
    <w:p w14:paraId="2C98CB1E" w14:textId="77777777" w:rsidR="00B164CE" w:rsidRPr="007654B5" w:rsidRDefault="00B164CE" w:rsidP="00B164CE">
      <w:pPr>
        <w:spacing w:before="120"/>
        <w:jc w:val="both"/>
      </w:pPr>
      <w:r w:rsidRPr="007654B5">
        <w:t>(1) Námitky účastníků řízení musí být uplatněny nejpozději při ústním jednání, popřípadě při veřejném ústním jednání, a nebylo-li nařízeno, ve lhůtě stanovené ve vyrozumění o zahájení řízení. K později uplatněným námitkám stavební úřad přihlédne a vypořádá je pouze tehdy, týkají-li se nově doplněných podkladů pro rozhodnutí, k nimž nebylo možné uplatnit námitku dříve. K námitkám o věcech, o kterých bylo rozhodnuto při vydání územně plánovací dokumentace, se nepřihlíží.</w:t>
      </w:r>
    </w:p>
    <w:p w14:paraId="7CB502AE" w14:textId="77777777" w:rsidR="00B164CE" w:rsidRPr="007654B5" w:rsidRDefault="00B164CE" w:rsidP="00B164CE">
      <w:pPr>
        <w:spacing w:before="120"/>
        <w:jc w:val="both"/>
      </w:pPr>
      <w:r w:rsidRPr="007654B5">
        <w:t>(2) Účastníci řízení mohou uplatňovat námitky směřující k hájení jejich procesních práv; další námitky pouze v rozsahu uvedeném v odstavci 3. K námitkám, které přesahují rozsah odstavce 3, stavební úřad nepřihlíží. Stavební úřad dále nepřihlíží k námitkám účastníka řízení, které jsou v rozporu s uzavřenou plánovací smlouvou, jejíž smluvní stranou je tento účastník řízení.</w:t>
      </w:r>
    </w:p>
    <w:p w14:paraId="4734C3AC" w14:textId="77777777" w:rsidR="00B164CE" w:rsidRPr="007654B5" w:rsidRDefault="00B164CE" w:rsidP="00B164CE">
      <w:pPr>
        <w:spacing w:before="120"/>
        <w:jc w:val="both"/>
      </w:pPr>
      <w:r w:rsidRPr="007654B5">
        <w:t>(3) Obec jako účastník řízení může uplatňovat námitky pouze v rozsahu své samostatné působnosti. Účastník řízení podle § 182 písm. c) a d) může uplatňovat námitky pouze v rozsahu možného přímého dotčení svých práv. Účastník řízení podle § 182 písm. e) může uplatňovat námitky pouze v rozsahu, v jakém se projednávaný záměr dotýká zájmů chráněných jiným právním předpisem, který zakládá jeho účastenství v řízení podle tohoto zákona. Účastník řízení je povinen v námitce uvést důvody podání námitky.</w:t>
      </w:r>
    </w:p>
    <w:p w14:paraId="4E437E11" w14:textId="77777777" w:rsidR="00B164CE" w:rsidRPr="007654B5" w:rsidRDefault="00B164CE" w:rsidP="00B164CE">
      <w:pPr>
        <w:spacing w:before="120"/>
        <w:jc w:val="both"/>
      </w:pPr>
      <w:r w:rsidRPr="007654B5">
        <w:t>(4) Shledá-li stavební úřad námitku důvodnou, umožní stavebníkovi se k ní vyjádřit, k čemuž mu poskytne přiměřenou lhůtu. Výzvu k vyjádření stavebníka může stavební úřad spojit s jiným úkonem v řízení.</w:t>
      </w:r>
    </w:p>
    <w:p w14:paraId="0E483130" w14:textId="77777777" w:rsidR="00B164CE" w:rsidRPr="007654B5" w:rsidRDefault="00B164CE" w:rsidP="00B164CE">
      <w:pPr>
        <w:spacing w:before="120"/>
      </w:pPr>
      <w:r w:rsidRPr="007654B5">
        <w:rPr>
          <w:b/>
          <w:bCs/>
        </w:rPr>
        <w:t>Námitky o existenci nebo rozsahu věcných práv dle § 191 stavebního zákona:</w:t>
      </w:r>
    </w:p>
    <w:p w14:paraId="0293BE35" w14:textId="77777777" w:rsidR="00B164CE" w:rsidRPr="007654B5" w:rsidRDefault="00B164CE" w:rsidP="00B164CE">
      <w:pPr>
        <w:spacing w:before="120"/>
        <w:jc w:val="both"/>
      </w:pPr>
      <w:r w:rsidRPr="007654B5">
        <w:t>(1) Námitky týkající se existence nebo rozsahu vlastnických nebo jiných věcných práv posoudí stavební úřad podle údajů v katastru nemovitostí. Svědčí-li vlastnické nebo jiné věcné právo stavebníkovi, stavební úřad k námitce nepřihlíží.</w:t>
      </w:r>
    </w:p>
    <w:p w14:paraId="78F49A78" w14:textId="77777777" w:rsidR="00B164CE" w:rsidRPr="007654B5" w:rsidRDefault="00B164CE" w:rsidP="00B164CE">
      <w:pPr>
        <w:spacing w:before="120"/>
        <w:jc w:val="both"/>
      </w:pPr>
      <w:r w:rsidRPr="007654B5">
        <w:t>(2) Zakládají-li údaje v katastru nemovitostí pochybnosti o existenci nebo rozsahu vlastnického nebo jiného věcného práva, stavební úřad řízení přeruší a vyzve účastníka řízení, který takovou námitku uplatnil, aby ji uplatnil ve stanovené lhůtě u soudu.</w:t>
      </w:r>
    </w:p>
    <w:p w14:paraId="5AD6D5AC" w14:textId="77777777" w:rsidR="00B164CE" w:rsidRPr="007654B5" w:rsidRDefault="00B164CE" w:rsidP="00B164CE">
      <w:pPr>
        <w:spacing w:before="120"/>
        <w:jc w:val="both"/>
      </w:pPr>
      <w:r w:rsidRPr="007654B5">
        <w:t>(3) Nebylo-li ve stanovené lhůtě zahájeno soudní řízení, návrh byl soudem odmítnut nebo bylo řízení zastaveno, stavební úřad k námitce nepřihlíží.</w:t>
      </w:r>
    </w:p>
    <w:p w14:paraId="0C3A258D" w14:textId="77777777" w:rsidR="00B164CE" w:rsidRPr="007654B5" w:rsidRDefault="00B164CE" w:rsidP="00B164CE">
      <w:pPr>
        <w:spacing w:before="120"/>
        <w:jc w:val="both"/>
      </w:pPr>
      <w:r w:rsidRPr="007654B5">
        <w:t>Dle ust. § 36 odst. 3 zákona č. 500/2004 Sb., správního řádu v platném znění se mohou účastníci řízení ve stejné lhůtě seznámit s podklady pro rozhodnutí a vyjádřit se k nim.</w:t>
      </w:r>
    </w:p>
    <w:p w14:paraId="2E70F5C0" w14:textId="77777777" w:rsidR="00B74CDE" w:rsidRPr="008030D4" w:rsidRDefault="00B74CDE" w:rsidP="00B74CDE"/>
    <w:p w14:paraId="3E9090DB" w14:textId="77777777" w:rsidR="00B74CDE" w:rsidRDefault="00B74CDE" w:rsidP="00B74CDE"/>
    <w:p w14:paraId="35270285" w14:textId="77777777" w:rsidR="00B164CE" w:rsidRDefault="00B164CE" w:rsidP="00B74CDE"/>
    <w:p w14:paraId="59F40822" w14:textId="77777777" w:rsidR="00B164CE" w:rsidRPr="008030D4" w:rsidRDefault="00B164CE" w:rsidP="00B74CDE"/>
    <w:p w14:paraId="4B11EDAF" w14:textId="7F69D9AD" w:rsidR="00B74CDE" w:rsidRPr="008030D4" w:rsidRDefault="00B74CDE" w:rsidP="00B74CDE">
      <w:pPr>
        <w:jc w:val="both"/>
      </w:pPr>
    </w:p>
    <w:p w14:paraId="09D84166" w14:textId="3C947422" w:rsidR="00B74CDE" w:rsidRPr="008030D4" w:rsidRDefault="00B74CDE" w:rsidP="00B74CDE">
      <w:pPr>
        <w:ind w:left="2268"/>
        <w:jc w:val="center"/>
      </w:pPr>
      <w:r>
        <w:t>Ing. Michaela Přívarová</w:t>
      </w:r>
    </w:p>
    <w:p w14:paraId="072F1D5F" w14:textId="4070EB30" w:rsidR="00EB7665" w:rsidRPr="00FE7F07" w:rsidRDefault="00B74CDE" w:rsidP="00FE7F07">
      <w:pPr>
        <w:ind w:left="2268"/>
        <w:jc w:val="center"/>
      </w:pPr>
      <w:r>
        <w:t xml:space="preserve">vedoucí oddělení stavebně správních řízení III </w:t>
      </w:r>
      <w:r>
        <w:br/>
        <w:t xml:space="preserve"> </w:t>
      </w:r>
      <w:r>
        <w:br/>
        <w:t xml:space="preserve"> </w:t>
      </w:r>
      <w:r>
        <w:br/>
        <w:t>otisk úředního razítka</w:t>
      </w:r>
      <w:r w:rsidRPr="008030D4">
        <w:t xml:space="preserve"> </w:t>
      </w:r>
    </w:p>
    <w:p w14:paraId="6A091FF0" w14:textId="2001FC0C" w:rsidR="00B97FDC" w:rsidRPr="000B23DA" w:rsidRDefault="00B97FDC" w:rsidP="00B97FDC">
      <w:pPr>
        <w:spacing w:after="60"/>
        <w:rPr>
          <w:b/>
          <w:bCs/>
        </w:rPr>
      </w:pPr>
      <w:r w:rsidRPr="000B23DA">
        <w:rPr>
          <w:b/>
          <w:bCs/>
        </w:rPr>
        <w:lastRenderedPageBreak/>
        <w:t>Obdrží:</w:t>
      </w:r>
    </w:p>
    <w:p w14:paraId="539D2A94" w14:textId="70EDD2B3" w:rsidR="00B74CDE" w:rsidRDefault="00B74CDE" w:rsidP="00B97FDC">
      <w:r>
        <w:t>stavebník (dodejky):</w:t>
      </w:r>
      <w:r>
        <w:br/>
      </w:r>
      <w:r w:rsidR="00EB7665">
        <w:t xml:space="preserve">v zast. </w:t>
      </w:r>
      <w:r>
        <w:t>Bc. David Čech, IDDS: 3g88v6w</w:t>
      </w:r>
    </w:p>
    <w:p w14:paraId="216911DD" w14:textId="77777777" w:rsidR="00B74CDE" w:rsidRDefault="00B74CDE" w:rsidP="00B97FDC">
      <w:r>
        <w:t xml:space="preserve"> </w:t>
      </w:r>
      <w:r>
        <w:br/>
        <w:t>účastníci (dodejky):</w:t>
      </w:r>
      <w:r>
        <w:br/>
        <w:t>CETIN a.s., IDDS: qa7425t</w:t>
      </w:r>
      <w:r>
        <w:br/>
        <w:t>EG.D, s.r.o., IDDS: b4gxki9</w:t>
      </w:r>
      <w:r>
        <w:br/>
        <w:t>GasNet Služby, s.r.o., IDDS: jnnyjs6</w:t>
      </w:r>
      <w:r>
        <w:br/>
        <w:t>Telco Infrastructure, s.r.o., IDDS: mdmbv6y</w:t>
      </w:r>
      <w:r>
        <w:br/>
        <w:t>Vodárna Zlín a.s., IDDS: hypddq4</w:t>
      </w:r>
    </w:p>
    <w:p w14:paraId="11A6D214" w14:textId="77777777" w:rsidR="00207798" w:rsidRDefault="00207798" w:rsidP="00207798"/>
    <w:p w14:paraId="33368AEC" w14:textId="757B5DBE" w:rsidR="00207798" w:rsidRPr="000B23DA" w:rsidRDefault="00207798" w:rsidP="00207798">
      <w:pPr>
        <w:spacing w:before="100" w:beforeAutospacing="1"/>
      </w:pPr>
      <w:r>
        <w:t>účastníci( doručováno veřejnou vyhláškou)</w:t>
      </w:r>
      <w:r w:rsidR="00B74CDE">
        <w:t xml:space="preserve"> </w:t>
      </w:r>
      <w:r w:rsidR="00B74CDE">
        <w:br/>
      </w:r>
      <w:r w:rsidRPr="000B23DA">
        <w:t>Osoby s vlastnickými nebo jinými věcnými právy k sousedním pozemkům:</w:t>
      </w:r>
    </w:p>
    <w:p w14:paraId="4E7C517B" w14:textId="77777777" w:rsidR="00207798" w:rsidRPr="000B23DA" w:rsidRDefault="00207798" w:rsidP="00207798">
      <w:pPr>
        <w:spacing w:before="60"/>
        <w:ind w:left="426"/>
      </w:pPr>
      <w:r>
        <w:t>st. p. 4993, parc. č. 673/3, 673/913, 673/79, 673/14 v katastrálním území Zlín</w:t>
      </w:r>
    </w:p>
    <w:p w14:paraId="124EBC0B" w14:textId="77777777" w:rsidR="00207798" w:rsidRPr="000B23DA" w:rsidRDefault="00207798" w:rsidP="00207798">
      <w:pPr>
        <w:spacing w:before="120"/>
      </w:pPr>
      <w:r w:rsidRPr="000B23DA">
        <w:t xml:space="preserve"> Osoby s vlastnickými nebo jinými věcnými právy k sousedním stavbám:</w:t>
      </w:r>
    </w:p>
    <w:p w14:paraId="7190BC19" w14:textId="77777777" w:rsidR="00207798" w:rsidRPr="000B23DA" w:rsidRDefault="00207798" w:rsidP="00207798">
      <w:pPr>
        <w:spacing w:before="60"/>
        <w:ind w:left="426"/>
      </w:pPr>
      <w:r>
        <w:t>Zlín č.p. 3691 a č.p. 3692</w:t>
      </w:r>
    </w:p>
    <w:p w14:paraId="54FDA443" w14:textId="77777777" w:rsidR="00207798" w:rsidRDefault="00207798" w:rsidP="00B97FDC"/>
    <w:p w14:paraId="7B1B1EF6" w14:textId="18C83DF5" w:rsidR="00B97FDC" w:rsidRPr="000B23DA" w:rsidRDefault="00B74CDE" w:rsidP="00B97FDC">
      <w:r>
        <w:t>dotčené orgány:</w:t>
      </w:r>
      <w:r>
        <w:br/>
        <w:t>Odbor kultury a památkové péče Magistrátu města Zlína, Zarámí č.p. 4421, 760 01  Zlín 1</w:t>
      </w:r>
      <w:r>
        <w:br/>
        <w:t>Odbor životního prostředí a zemědělství Magistrátu města Zlína, DOSS, Zarámí č.p. 4421, 760 01  Zlín 1</w:t>
      </w:r>
      <w:r>
        <w:br/>
      </w:r>
    </w:p>
    <w:p w14:paraId="1A25350A" w14:textId="77777777" w:rsidR="00B74CDE" w:rsidRPr="00530009" w:rsidRDefault="00B74CDE" w:rsidP="00B74CDE">
      <w:r w:rsidRPr="000B23DA">
        <w:t xml:space="preserve"> </w:t>
      </w:r>
    </w:p>
    <w:p w14:paraId="233ED7F7" w14:textId="787F2132" w:rsidR="00EB7665" w:rsidRPr="005E205D" w:rsidRDefault="00EB7665" w:rsidP="0025060E">
      <w:pPr>
        <w:spacing w:before="100" w:beforeAutospacing="1"/>
        <w:jc w:val="both"/>
      </w:pPr>
      <w:r w:rsidRPr="00DC0532">
        <w:rPr>
          <w:b/>
          <w:bCs/>
        </w:rPr>
        <w:t>Poznámka:</w:t>
      </w:r>
      <w:r w:rsidRPr="00DC0532">
        <w:rPr>
          <w:b/>
          <w:bCs/>
        </w:rPr>
        <w:br/>
      </w:r>
      <w:r w:rsidRPr="005E205D">
        <w:t>Stavební úřad při posuzování žádosti stanovil okruh účastníků řízení a dospěl k závěru, že se jedná o řízení s velkým počtem účastníků podle § 144 odst. 1 zákona č. 500/2004 Sb., správní řád, ve znění pozdějších předpisů.</w:t>
      </w:r>
    </w:p>
    <w:p w14:paraId="387CAF67" w14:textId="77777777" w:rsidR="0025060E" w:rsidRDefault="00EB7665" w:rsidP="0025060E">
      <w:pPr>
        <w:jc w:val="both"/>
      </w:pPr>
      <w:r w:rsidRPr="005E205D">
        <w:t xml:space="preserve">V souladu s ust. § 188 odst. 4 stavebního zákona v návaznosti na ust. § 25 odst. 1 a 2 správního řádu se oznámení o zahájení řízení a další úkony v řízení s velkým počtem účastníků doručují postupem dle § 144 odst. 6 správního řádu. Dle ust. § 188 odst. 3 stavebního zákona se účastníci řízení podle § 182 písm. d) ve vyrozumění o zahájení řízení s velkým počtem účastníků a v dalších písemnostech v řízení identifikují označením pozemků a staveb evidovaných v katastru nemovitostí. </w:t>
      </w:r>
    </w:p>
    <w:p w14:paraId="37BB3075" w14:textId="1BB3CB09" w:rsidR="00EB7665" w:rsidRPr="000B23DA" w:rsidRDefault="00EB7665" w:rsidP="0025060E">
      <w:pPr>
        <w:jc w:val="both"/>
      </w:pPr>
      <w:r w:rsidRPr="005E205D">
        <w:t>Dle § 25 odst. 3 správního řádu dnem</w:t>
      </w:r>
      <w:r w:rsidR="0025060E">
        <w:t xml:space="preserve"> </w:t>
      </w:r>
      <w:r w:rsidRPr="005E205D">
        <w:t xml:space="preserve">vyvěšení je den vyvěšení na úřední desce správního orgánu, který písemnost doručuje. Pro stanovení lhůty k podání námitek je tedy rozhodující vyvěšení na úřední desce Magistrátu města Zlína. Patnáctým dnem po vyvěšení se písemnost považuje za doručenou. Toto oznámení se vyvěšuje na úřední desce Magistrátu města Zlína a na webových stránkách </w:t>
      </w:r>
      <w:hyperlink r:id="rId8" w:history="1">
        <w:r w:rsidRPr="005E205D">
          <w:rPr>
            <w:rStyle w:val="Hypertextovodkaz"/>
            <w:color w:val="auto"/>
          </w:rPr>
          <w:t>www.zlin.eu</w:t>
        </w:r>
      </w:hyperlink>
      <w:r w:rsidRPr="005E205D">
        <w:t xml:space="preserve">. </w:t>
      </w:r>
    </w:p>
    <w:sectPr w:rsidR="00EB7665" w:rsidRPr="000B23DA" w:rsidSect="00CE0846">
      <w:headerReference w:type="default" r:id="rId9"/>
      <w:type w:val="continuous"/>
      <w:pgSz w:w="11906" w:h="16838"/>
      <w:pgMar w:top="851" w:right="1134" w:bottom="851" w:left="1418" w:header="709" w:footer="709"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EB504" w14:textId="77777777" w:rsidR="00E62454" w:rsidRDefault="00E62454">
      <w:r>
        <w:separator/>
      </w:r>
    </w:p>
  </w:endnote>
  <w:endnote w:type="continuationSeparator" w:id="0">
    <w:p w14:paraId="2177A622" w14:textId="77777777" w:rsidR="00E62454" w:rsidRDefault="00E62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6B600" w14:textId="77777777" w:rsidR="00E62454" w:rsidRDefault="00E62454">
      <w:r>
        <w:separator/>
      </w:r>
    </w:p>
  </w:footnote>
  <w:footnote w:type="continuationSeparator" w:id="0">
    <w:p w14:paraId="77907E4F" w14:textId="77777777" w:rsidR="00E62454" w:rsidRDefault="00E624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1107" w14:textId="77777777" w:rsidR="00B74CDE" w:rsidRDefault="00B74CDE">
    <w:pPr>
      <w:pStyle w:val="Zhlav"/>
      <w:rPr>
        <w:sz w:val="18"/>
        <w:szCs w:val="18"/>
      </w:rPr>
    </w:pPr>
    <w:r>
      <w:rPr>
        <w:sz w:val="18"/>
        <w:szCs w:val="18"/>
      </w:rPr>
      <w:t>Č.j. [30]</w:t>
    </w:r>
    <w:r>
      <w:rPr>
        <w:sz w:val="18"/>
        <w:szCs w:val="18"/>
      </w:rPr>
      <w:tab/>
      <w:t xml:space="preserve">str. </w:t>
    </w:r>
    <w:r>
      <w:rPr>
        <w:rStyle w:val="slostrnky"/>
        <w:sz w:val="18"/>
        <w:szCs w:val="18"/>
      </w:rPr>
      <w:fldChar w:fldCharType="begin"/>
    </w:r>
    <w:r>
      <w:rPr>
        <w:rStyle w:val="slostrnky"/>
        <w:sz w:val="18"/>
        <w:szCs w:val="18"/>
      </w:rPr>
      <w:instrText xml:space="preserve"> PAGE </w:instrText>
    </w:r>
    <w:r>
      <w:rPr>
        <w:rStyle w:val="slostrnky"/>
        <w:sz w:val="18"/>
        <w:szCs w:val="18"/>
      </w:rPr>
      <w:fldChar w:fldCharType="separate"/>
    </w:r>
    <w:r>
      <w:rPr>
        <w:rStyle w:val="slostrnky"/>
        <w:noProof/>
        <w:sz w:val="18"/>
        <w:szCs w:val="18"/>
      </w:rPr>
      <w:t>2</w:t>
    </w:r>
    <w:r>
      <w:rPr>
        <w:rStyle w:val="slostrnky"/>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A350" w14:textId="4D605644" w:rsidR="002D241F" w:rsidRPr="00CB708E" w:rsidRDefault="00CB708E" w:rsidP="002D241F">
    <w:pPr>
      <w:pStyle w:val="Zhlav"/>
      <w:rPr>
        <w:rStyle w:val="slostrnky"/>
        <w:sz w:val="18"/>
        <w:szCs w:val="18"/>
      </w:rPr>
    </w:pPr>
    <w:r w:rsidRPr="00CB708E">
      <w:rPr>
        <w:sz w:val="18"/>
        <w:szCs w:val="18"/>
      </w:rPr>
      <w:t xml:space="preserve">Č.j. </w:t>
    </w:r>
    <w:r w:rsidR="00B74CDE">
      <w:rPr>
        <w:sz w:val="18"/>
        <w:szCs w:val="18"/>
      </w:rPr>
      <w:t>MMZL 236297/2026</w:t>
    </w:r>
    <w:r w:rsidR="002D241F" w:rsidRPr="00CB708E">
      <w:rPr>
        <w:sz w:val="18"/>
        <w:szCs w:val="18"/>
      </w:rPr>
      <w:tab/>
      <w:t xml:space="preserve">str. </w:t>
    </w:r>
    <w:r w:rsidR="002D241F" w:rsidRPr="00CB708E">
      <w:rPr>
        <w:rStyle w:val="slostrnky"/>
        <w:sz w:val="18"/>
        <w:szCs w:val="18"/>
      </w:rPr>
      <w:fldChar w:fldCharType="begin"/>
    </w:r>
    <w:r w:rsidR="002D241F" w:rsidRPr="00CB708E">
      <w:rPr>
        <w:rStyle w:val="slostrnky"/>
        <w:sz w:val="18"/>
        <w:szCs w:val="18"/>
      </w:rPr>
      <w:instrText xml:space="preserve"> PAGE </w:instrText>
    </w:r>
    <w:r w:rsidR="002D241F" w:rsidRPr="00CB708E">
      <w:rPr>
        <w:rStyle w:val="slostrnky"/>
        <w:sz w:val="18"/>
        <w:szCs w:val="18"/>
      </w:rPr>
      <w:fldChar w:fldCharType="separate"/>
    </w:r>
    <w:r w:rsidR="002F0CA7">
      <w:rPr>
        <w:rStyle w:val="slostrnky"/>
        <w:noProof/>
        <w:sz w:val="18"/>
        <w:szCs w:val="18"/>
      </w:rPr>
      <w:t>2</w:t>
    </w:r>
    <w:r w:rsidR="002D241F" w:rsidRPr="00CB708E">
      <w:rPr>
        <w:rStyle w:val="slostrnky"/>
      </w:rPr>
      <w:fldChar w:fldCharType="end"/>
    </w:r>
  </w:p>
  <w:p w14:paraId="53F6F7CC" w14:textId="77777777" w:rsidR="002D241F" w:rsidRDefault="002D241F" w:rsidP="002D241F">
    <w:pPr>
      <w:pStyle w:val="Zhlav"/>
      <w:rPr>
        <w:sz w:val="2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4C27"/>
    <w:multiLevelType w:val="singleLevel"/>
    <w:tmpl w:val="13365994"/>
    <w:lvl w:ilvl="0">
      <w:start w:val="1"/>
      <w:numFmt w:val="bullet"/>
      <w:lvlText w:val=""/>
      <w:lvlJc w:val="left"/>
      <w:pPr>
        <w:tabs>
          <w:tab w:val="num" w:pos="360"/>
        </w:tabs>
        <w:ind w:left="357" w:hanging="357"/>
      </w:pPr>
      <w:rPr>
        <w:rFonts w:ascii="Symbol" w:hAnsi="Symbol" w:cs="Times New Roman" w:hint="default"/>
      </w:rPr>
    </w:lvl>
  </w:abstractNum>
  <w:abstractNum w:abstractNumId="1" w15:restartNumberingAfterBreak="0">
    <w:nsid w:val="2C003F4D"/>
    <w:multiLevelType w:val="multilevel"/>
    <w:tmpl w:val="39444E0A"/>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ordinal"/>
      <w:lvlText w:val="%2"/>
      <w:lvlJc w:val="left"/>
      <w:pPr>
        <w:tabs>
          <w:tab w:val="num" w:pos="1077"/>
        </w:tabs>
        <w:ind w:left="720" w:hanging="363"/>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2" w15:restartNumberingAfterBreak="0">
    <w:nsid w:val="2DEF738E"/>
    <w:multiLevelType w:val="singleLevel"/>
    <w:tmpl w:val="34DC5A26"/>
    <w:lvl w:ilvl="0">
      <w:start w:val="1"/>
      <w:numFmt w:val="bullet"/>
      <w:lvlText w:val=""/>
      <w:lvlJc w:val="left"/>
      <w:pPr>
        <w:tabs>
          <w:tab w:val="num" w:pos="360"/>
        </w:tabs>
        <w:ind w:left="357" w:hanging="357"/>
      </w:pPr>
      <w:rPr>
        <w:rFonts w:ascii="Symbol" w:hAnsi="Symbol" w:cs="Times New Roman" w:hint="default"/>
      </w:rPr>
    </w:lvl>
  </w:abstractNum>
  <w:abstractNum w:abstractNumId="3" w15:restartNumberingAfterBreak="0">
    <w:nsid w:val="39B04CE5"/>
    <w:multiLevelType w:val="singleLevel"/>
    <w:tmpl w:val="0405000F"/>
    <w:lvl w:ilvl="0">
      <w:start w:val="1"/>
      <w:numFmt w:val="decimal"/>
      <w:lvlText w:val="%1."/>
      <w:lvlJc w:val="left"/>
      <w:pPr>
        <w:tabs>
          <w:tab w:val="num" w:pos="360"/>
        </w:tabs>
        <w:ind w:left="360" w:hanging="360"/>
      </w:pPr>
    </w:lvl>
  </w:abstractNum>
  <w:abstractNum w:abstractNumId="4" w15:restartNumberingAfterBreak="0">
    <w:nsid w:val="54824BC4"/>
    <w:multiLevelType w:val="hybridMultilevel"/>
    <w:tmpl w:val="C84EDED6"/>
    <w:lvl w:ilvl="0" w:tplc="04050001">
      <w:start w:val="1"/>
      <w:numFmt w:val="bullet"/>
      <w:lvlText w:val=""/>
      <w:lvlJc w:val="left"/>
      <w:pPr>
        <w:tabs>
          <w:tab w:val="num" w:pos="720"/>
        </w:tabs>
        <w:ind w:left="720" w:hanging="360"/>
      </w:pPr>
      <w:rPr>
        <w:rFonts w:ascii="Symbol" w:hAnsi="Symbol"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5" w15:restartNumberingAfterBreak="0">
    <w:nsid w:val="5CF14CD7"/>
    <w:multiLevelType w:val="singleLevel"/>
    <w:tmpl w:val="34DC5A26"/>
    <w:lvl w:ilvl="0">
      <w:start w:val="1"/>
      <w:numFmt w:val="bullet"/>
      <w:lvlText w:val=""/>
      <w:lvlJc w:val="left"/>
      <w:pPr>
        <w:tabs>
          <w:tab w:val="num" w:pos="360"/>
        </w:tabs>
        <w:ind w:left="357" w:hanging="357"/>
      </w:pPr>
      <w:rPr>
        <w:rFonts w:ascii="Symbol" w:hAnsi="Symbol" w:cs="Times New Roman" w:hint="default"/>
      </w:rPr>
    </w:lvl>
  </w:abstractNum>
  <w:abstractNum w:abstractNumId="6" w15:restartNumberingAfterBreak="0">
    <w:nsid w:val="7A7952D4"/>
    <w:multiLevelType w:val="hybridMultilevel"/>
    <w:tmpl w:val="87BEFB14"/>
    <w:lvl w:ilvl="0" w:tplc="EA0EB764">
      <w:start w:val="1"/>
      <w:numFmt w:val="bullet"/>
      <w:lvlText w:val="-"/>
      <w:lvlJc w:val="left"/>
      <w:pPr>
        <w:ind w:left="720" w:hanging="360"/>
      </w:pPr>
      <w:rPr>
        <w:rFonts w:ascii="Arial Narrow" w:hAnsi="Arial Narro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1622300321">
    <w:abstractNumId w:val="0"/>
  </w:num>
  <w:num w:numId="2" w16cid:durableId="478496517">
    <w:abstractNumId w:val="3"/>
  </w:num>
  <w:num w:numId="3" w16cid:durableId="1459372839">
    <w:abstractNumId w:val="2"/>
  </w:num>
  <w:num w:numId="4" w16cid:durableId="1704087781">
    <w:abstractNumId w:val="5"/>
  </w:num>
  <w:num w:numId="5" w16cid:durableId="47286893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9927890">
    <w:abstractNumId w:val="1"/>
  </w:num>
  <w:num w:numId="7" w16cid:durableId="19087609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1"/>
  <w:defaultTabStop w:val="708"/>
  <w:hyphenationZone w:val="425"/>
  <w:doNotHyphenateCaps/>
  <w:drawingGridHorizontalSpacing w:val="110"/>
  <w:drawingGridVerticalSpacing w:val="120"/>
  <w:displayHorizontalDrawingGridEvery w:val="0"/>
  <w:displayVerticalDrawingGridEvery w:val="3"/>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41F"/>
    <w:rsid w:val="000126D4"/>
    <w:rsid w:val="00012E55"/>
    <w:rsid w:val="000149BD"/>
    <w:rsid w:val="00023E7D"/>
    <w:rsid w:val="000A007A"/>
    <w:rsid w:val="000A2324"/>
    <w:rsid w:val="000B23DA"/>
    <w:rsid w:val="000F318D"/>
    <w:rsid w:val="00106CC5"/>
    <w:rsid w:val="001115EE"/>
    <w:rsid w:val="0013328D"/>
    <w:rsid w:val="00145B08"/>
    <w:rsid w:val="00150CE8"/>
    <w:rsid w:val="001815DB"/>
    <w:rsid w:val="00191402"/>
    <w:rsid w:val="001D0643"/>
    <w:rsid w:val="001E7879"/>
    <w:rsid w:val="00200AD5"/>
    <w:rsid w:val="00207798"/>
    <w:rsid w:val="002421B4"/>
    <w:rsid w:val="0024757C"/>
    <w:rsid w:val="0025060E"/>
    <w:rsid w:val="0025506B"/>
    <w:rsid w:val="00255914"/>
    <w:rsid w:val="00274736"/>
    <w:rsid w:val="0027585D"/>
    <w:rsid w:val="0029446A"/>
    <w:rsid w:val="002A4861"/>
    <w:rsid w:val="002C6DE7"/>
    <w:rsid w:val="002D241F"/>
    <w:rsid w:val="002D3E33"/>
    <w:rsid w:val="002D48B4"/>
    <w:rsid w:val="002D56BB"/>
    <w:rsid w:val="002F0CA7"/>
    <w:rsid w:val="002F192F"/>
    <w:rsid w:val="003072CE"/>
    <w:rsid w:val="00354866"/>
    <w:rsid w:val="00381378"/>
    <w:rsid w:val="003B51C6"/>
    <w:rsid w:val="003F1F70"/>
    <w:rsid w:val="003F5E1B"/>
    <w:rsid w:val="00410F36"/>
    <w:rsid w:val="00420E2F"/>
    <w:rsid w:val="00421988"/>
    <w:rsid w:val="00425A11"/>
    <w:rsid w:val="00452653"/>
    <w:rsid w:val="00455DED"/>
    <w:rsid w:val="0046062C"/>
    <w:rsid w:val="00462EF1"/>
    <w:rsid w:val="004778B0"/>
    <w:rsid w:val="00491D55"/>
    <w:rsid w:val="00495FDA"/>
    <w:rsid w:val="004978CF"/>
    <w:rsid w:val="004A1AC5"/>
    <w:rsid w:val="004A27AD"/>
    <w:rsid w:val="004C23AF"/>
    <w:rsid w:val="004C6EF1"/>
    <w:rsid w:val="004F6352"/>
    <w:rsid w:val="0050781C"/>
    <w:rsid w:val="00522C19"/>
    <w:rsid w:val="005453B1"/>
    <w:rsid w:val="005835CF"/>
    <w:rsid w:val="00595017"/>
    <w:rsid w:val="005A1D5E"/>
    <w:rsid w:val="006063C4"/>
    <w:rsid w:val="00612DAD"/>
    <w:rsid w:val="0062116A"/>
    <w:rsid w:val="00631A76"/>
    <w:rsid w:val="006874CD"/>
    <w:rsid w:val="006C27EF"/>
    <w:rsid w:val="006C65FB"/>
    <w:rsid w:val="006D1B31"/>
    <w:rsid w:val="006D5B31"/>
    <w:rsid w:val="006F0B0A"/>
    <w:rsid w:val="007037EA"/>
    <w:rsid w:val="0071113A"/>
    <w:rsid w:val="00715057"/>
    <w:rsid w:val="0072572D"/>
    <w:rsid w:val="00726D2D"/>
    <w:rsid w:val="0076332E"/>
    <w:rsid w:val="0077302B"/>
    <w:rsid w:val="00791F31"/>
    <w:rsid w:val="007B124E"/>
    <w:rsid w:val="007B2D0B"/>
    <w:rsid w:val="007C0DE7"/>
    <w:rsid w:val="007F6D2E"/>
    <w:rsid w:val="00804319"/>
    <w:rsid w:val="008253BA"/>
    <w:rsid w:val="0082596F"/>
    <w:rsid w:val="008272E1"/>
    <w:rsid w:val="00840C4A"/>
    <w:rsid w:val="008640D1"/>
    <w:rsid w:val="00871CE9"/>
    <w:rsid w:val="0087647F"/>
    <w:rsid w:val="00883261"/>
    <w:rsid w:val="008A0AA0"/>
    <w:rsid w:val="008A1B80"/>
    <w:rsid w:val="008E173F"/>
    <w:rsid w:val="009177E6"/>
    <w:rsid w:val="0093000F"/>
    <w:rsid w:val="00934DD6"/>
    <w:rsid w:val="00995A60"/>
    <w:rsid w:val="00996E32"/>
    <w:rsid w:val="00996F91"/>
    <w:rsid w:val="009B248F"/>
    <w:rsid w:val="009B693E"/>
    <w:rsid w:val="009B77DF"/>
    <w:rsid w:val="009C7D47"/>
    <w:rsid w:val="009E3DE4"/>
    <w:rsid w:val="00A3158A"/>
    <w:rsid w:val="00A407E2"/>
    <w:rsid w:val="00AC2251"/>
    <w:rsid w:val="00AD5BF4"/>
    <w:rsid w:val="00B164CE"/>
    <w:rsid w:val="00B43E08"/>
    <w:rsid w:val="00B632C1"/>
    <w:rsid w:val="00B7088B"/>
    <w:rsid w:val="00B721A9"/>
    <w:rsid w:val="00B74CDE"/>
    <w:rsid w:val="00B75F5B"/>
    <w:rsid w:val="00B77EE8"/>
    <w:rsid w:val="00B93EB8"/>
    <w:rsid w:val="00B97FDC"/>
    <w:rsid w:val="00BE3803"/>
    <w:rsid w:val="00BF3807"/>
    <w:rsid w:val="00C31E39"/>
    <w:rsid w:val="00C47DA7"/>
    <w:rsid w:val="00C61A64"/>
    <w:rsid w:val="00CB708E"/>
    <w:rsid w:val="00CC48CA"/>
    <w:rsid w:val="00CD2931"/>
    <w:rsid w:val="00CE0846"/>
    <w:rsid w:val="00CE5C3B"/>
    <w:rsid w:val="00CE7023"/>
    <w:rsid w:val="00D04476"/>
    <w:rsid w:val="00D3426B"/>
    <w:rsid w:val="00D36C2C"/>
    <w:rsid w:val="00D458BC"/>
    <w:rsid w:val="00D4796F"/>
    <w:rsid w:val="00D80F5E"/>
    <w:rsid w:val="00D813DF"/>
    <w:rsid w:val="00D8759C"/>
    <w:rsid w:val="00D90D80"/>
    <w:rsid w:val="00DA5E1B"/>
    <w:rsid w:val="00DC0532"/>
    <w:rsid w:val="00DC4642"/>
    <w:rsid w:val="00DE3F4F"/>
    <w:rsid w:val="00E10300"/>
    <w:rsid w:val="00E2282C"/>
    <w:rsid w:val="00E47660"/>
    <w:rsid w:val="00E50CC2"/>
    <w:rsid w:val="00E62454"/>
    <w:rsid w:val="00E77613"/>
    <w:rsid w:val="00EA16DF"/>
    <w:rsid w:val="00EB7665"/>
    <w:rsid w:val="00EE10A1"/>
    <w:rsid w:val="00EE6AC5"/>
    <w:rsid w:val="00EF0EFB"/>
    <w:rsid w:val="00EF1451"/>
    <w:rsid w:val="00F12FCA"/>
    <w:rsid w:val="00F2282E"/>
    <w:rsid w:val="00F23992"/>
    <w:rsid w:val="00F43C60"/>
    <w:rsid w:val="00F55A91"/>
    <w:rsid w:val="00F62783"/>
    <w:rsid w:val="00F71712"/>
    <w:rsid w:val="00FB6C9F"/>
    <w:rsid w:val="00FD7953"/>
    <w:rsid w:val="00FE59C9"/>
    <w:rsid w:val="00FE7F0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A66B82"/>
  <w15:chartTrackingRefBased/>
  <w15:docId w15:val="{413AF733-437E-42C0-AFB3-D5FF857ED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pPr>
      <w:autoSpaceDE w:val="0"/>
      <w:autoSpaceDN w:val="0"/>
    </w:pPr>
    <w:rPr>
      <w:sz w:val="22"/>
      <w:szCs w:val="22"/>
    </w:rPr>
  </w:style>
  <w:style w:type="paragraph" w:styleId="Nadpis1">
    <w:name w:val="heading 1"/>
    <w:basedOn w:val="Normln"/>
    <w:next w:val="Normln"/>
    <w:link w:val="Nadpis1Char"/>
    <w:qFormat/>
    <w:pPr>
      <w:keepNext/>
      <w:spacing w:before="120"/>
      <w:jc w:val="center"/>
      <w:outlineLvl w:val="0"/>
    </w:pPr>
    <w:rPr>
      <w:b/>
      <w:bCs/>
      <w:kern w:val="28"/>
      <w:sz w:val="28"/>
      <w:szCs w:val="28"/>
    </w:rPr>
  </w:style>
  <w:style w:type="paragraph" w:styleId="Nadpis2">
    <w:name w:val="heading 2"/>
    <w:basedOn w:val="Normln"/>
    <w:next w:val="Normln"/>
    <w:qFormat/>
    <w:pPr>
      <w:keepNext/>
      <w:spacing w:before="120"/>
      <w:outlineLvl w:val="1"/>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pPr>
      <w:tabs>
        <w:tab w:val="center" w:pos="4536"/>
        <w:tab w:val="right" w:pos="9072"/>
      </w:tabs>
    </w:pPr>
  </w:style>
  <w:style w:type="character" w:styleId="slostrnky">
    <w:name w:val="page number"/>
    <w:basedOn w:val="Standardnpsmoodstavce"/>
    <w:uiPriority w:val="99"/>
  </w:style>
  <w:style w:type="paragraph" w:styleId="Zkladntext">
    <w:name w:val="Body Text"/>
    <w:basedOn w:val="Normln"/>
    <w:pPr>
      <w:spacing w:before="120"/>
      <w:jc w:val="both"/>
    </w:pPr>
    <w:rPr>
      <w:sz w:val="24"/>
      <w:szCs w:val="24"/>
    </w:rPr>
  </w:style>
  <w:style w:type="paragraph" w:styleId="Zkladntextodsazen">
    <w:name w:val="Body Text Indent"/>
    <w:basedOn w:val="Normln"/>
    <w:pPr>
      <w:ind w:firstLine="708"/>
      <w:jc w:val="both"/>
    </w:pPr>
    <w:rPr>
      <w:sz w:val="24"/>
      <w:szCs w:val="24"/>
    </w:rPr>
  </w:style>
  <w:style w:type="paragraph" w:styleId="Zpat">
    <w:name w:val="footer"/>
    <w:basedOn w:val="Normln"/>
    <w:pPr>
      <w:tabs>
        <w:tab w:val="center" w:pos="4536"/>
        <w:tab w:val="right" w:pos="9072"/>
      </w:tabs>
    </w:pPr>
  </w:style>
  <w:style w:type="character" w:customStyle="1" w:styleId="Nadpis1Char">
    <w:name w:val="Nadpis 1 Char"/>
    <w:link w:val="Nadpis1"/>
    <w:rsid w:val="00B77EE8"/>
    <w:rPr>
      <w:b/>
      <w:bCs/>
      <w:kern w:val="28"/>
      <w:sz w:val="28"/>
      <w:szCs w:val="28"/>
    </w:rPr>
  </w:style>
  <w:style w:type="paragraph" w:customStyle="1" w:styleId="l5">
    <w:name w:val="l5"/>
    <w:basedOn w:val="Normln"/>
    <w:rsid w:val="00B77EE8"/>
    <w:pPr>
      <w:autoSpaceDE/>
      <w:autoSpaceDN/>
      <w:spacing w:before="100" w:beforeAutospacing="1" w:after="100" w:afterAutospacing="1"/>
    </w:pPr>
    <w:rPr>
      <w:sz w:val="24"/>
      <w:szCs w:val="24"/>
    </w:rPr>
  </w:style>
  <w:style w:type="character" w:customStyle="1" w:styleId="ZhlavChar">
    <w:name w:val="Záhlaví Char"/>
    <w:link w:val="Zhlav"/>
    <w:uiPriority w:val="99"/>
    <w:rsid w:val="00B74CDE"/>
    <w:rPr>
      <w:sz w:val="22"/>
      <w:szCs w:val="22"/>
    </w:rPr>
  </w:style>
  <w:style w:type="character" w:styleId="Hypertextovodkaz">
    <w:name w:val="Hyperlink"/>
    <w:rsid w:val="00DC053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06276">
      <w:bodyDiv w:val="1"/>
      <w:marLeft w:val="0"/>
      <w:marRight w:val="0"/>
      <w:marTop w:val="0"/>
      <w:marBottom w:val="0"/>
      <w:divBdr>
        <w:top w:val="none" w:sz="0" w:space="0" w:color="auto"/>
        <w:left w:val="none" w:sz="0" w:space="0" w:color="auto"/>
        <w:bottom w:val="none" w:sz="0" w:space="0" w:color="auto"/>
        <w:right w:val="none" w:sz="0" w:space="0" w:color="auto"/>
      </w:divBdr>
    </w:div>
    <w:div w:id="659189179">
      <w:bodyDiv w:val="1"/>
      <w:marLeft w:val="0"/>
      <w:marRight w:val="0"/>
      <w:marTop w:val="0"/>
      <w:marBottom w:val="0"/>
      <w:divBdr>
        <w:top w:val="none" w:sz="0" w:space="0" w:color="auto"/>
        <w:left w:val="none" w:sz="0" w:space="0" w:color="auto"/>
        <w:bottom w:val="none" w:sz="0" w:space="0" w:color="auto"/>
        <w:right w:val="none" w:sz="0" w:space="0" w:color="auto"/>
      </w:divBdr>
    </w:div>
    <w:div w:id="87315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lin.eu"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1148</Words>
  <Characters>6780</Characters>
  <Application>Microsoft Office Word</Application>
  <DocSecurity>8</DocSecurity>
  <Lines>56</Lines>
  <Paragraphs>15</Paragraphs>
  <ScaleCrop>false</ScaleCrop>
  <HeadingPairs>
    <vt:vector size="2" baseType="variant">
      <vt:variant>
        <vt:lpstr>Název</vt:lpstr>
      </vt:variant>
      <vt:variant>
        <vt:i4>1</vt:i4>
      </vt:variant>
    </vt:vector>
  </HeadingPairs>
  <TitlesOfParts>
    <vt:vector size="1" baseType="lpstr">
      <vt:lpstr>[21]</vt:lpstr>
    </vt:vector>
  </TitlesOfParts>
  <Company>VITA software</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dc:title>
  <dc:subject/>
  <dc:creator>Jiri Stochel</dc:creator>
  <cp:keywords/>
  <dc:description/>
  <cp:lastModifiedBy>Přívarová Michaela</cp:lastModifiedBy>
  <cp:revision>2</cp:revision>
  <cp:lastPrinted>2026-08-25T07:26:00Z</cp:lastPrinted>
  <dcterms:created xsi:type="dcterms:W3CDTF">2026-09-24T10:15:00Z</dcterms:created>
  <dcterms:modified xsi:type="dcterms:W3CDTF">2026-09-24T10:15:00Z</dcterms:modified>
</cp:coreProperties>
</file>