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C4" w:rsidRDefault="00074BC1" w:rsidP="0033276D">
      <w:pPr>
        <w:widowControl/>
        <w:adjustRightInd w:val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Dne 1. 1. 2017 nabyl účinnosti nový a doposud platný zákon č. 186/2016 Sb., o hazardních hrách (dále jen „zákon o hazardních hrách“), upravující problematiku podnikání na herním trhu a podmínky provozování hazardních her. </w:t>
      </w:r>
    </w:p>
    <w:p w:rsidR="00C06BC4" w:rsidRDefault="00C06BC4" w:rsidP="0033276D">
      <w:pPr>
        <w:widowControl/>
        <w:adjustRightInd w:val="0"/>
        <w:jc w:val="both"/>
        <w:rPr>
          <w:rFonts w:ascii="Arial" w:hAnsi="Arial" w:cs="Arial"/>
        </w:rPr>
      </w:pPr>
    </w:p>
    <w:p w:rsidR="00AC2F28" w:rsidRPr="00701336" w:rsidRDefault="00074BC1" w:rsidP="0033276D">
      <w:pPr>
        <w:widowControl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Zákon o hazardních hrách zavedl omezení a instituty, které významným způsobem přispívají k regulaci a kultivaci herního trhu a eliminaci souvisejících rizik. </w:t>
      </w:r>
      <w:r w:rsidR="002328B9">
        <w:rPr>
          <w:rFonts w:ascii="Arial" w:hAnsi="Arial" w:cs="Arial"/>
        </w:rPr>
        <w:t>Z nich lze zmínit zejména</w:t>
      </w:r>
      <w:r w:rsidR="002328B9">
        <w:rPr>
          <w:rFonts w:ascii="LucidaSansUnicode" w:hAnsi="LucidaSansUnicode" w:cs="LucidaSansUnicode"/>
        </w:rPr>
        <w:t xml:space="preserve"> </w:t>
      </w:r>
      <w:r w:rsidR="002328B9">
        <w:rPr>
          <w:rFonts w:ascii="Arial" w:hAnsi="Arial" w:cs="Arial"/>
        </w:rPr>
        <w:t xml:space="preserve">možnost provozovat technickou hru (např. IVT, VHP, apod.) pouze v </w:t>
      </w:r>
      <w:r w:rsidR="002328B9" w:rsidRPr="0033276D">
        <w:rPr>
          <w:rFonts w:ascii="Arial" w:hAnsi="Arial" w:cs="Arial"/>
        </w:rPr>
        <w:t>herně či kasinu</w:t>
      </w:r>
      <w:r w:rsidR="002328B9">
        <w:rPr>
          <w:rFonts w:ascii="Arial" w:hAnsi="Arial" w:cs="Arial"/>
        </w:rPr>
        <w:t xml:space="preserve"> a živou hru (např. živá ruleta, živé karetní hry) jen v</w:t>
      </w:r>
      <w:r w:rsidR="00C06BC4">
        <w:rPr>
          <w:rFonts w:ascii="Arial" w:hAnsi="Arial" w:cs="Arial"/>
        </w:rPr>
        <w:t> </w:t>
      </w:r>
      <w:r w:rsidR="002328B9">
        <w:rPr>
          <w:rFonts w:ascii="Arial" w:hAnsi="Arial" w:cs="Arial"/>
        </w:rPr>
        <w:t>kasinu</w:t>
      </w:r>
      <w:r w:rsidR="00C06BC4">
        <w:rPr>
          <w:rFonts w:ascii="Arial" w:hAnsi="Arial" w:cs="Arial"/>
        </w:rPr>
        <w:t xml:space="preserve"> (nikoli již tedy v restauračních provozovnách barech, benzínových stanicích </w:t>
      </w:r>
      <w:proofErr w:type="spellStart"/>
      <w:r w:rsidR="00C06BC4">
        <w:rPr>
          <w:rFonts w:ascii="Arial" w:hAnsi="Arial" w:cs="Arial"/>
        </w:rPr>
        <w:t>apod</w:t>
      </w:r>
      <w:proofErr w:type="spellEnd"/>
      <w:r w:rsidR="00C06BC4">
        <w:rPr>
          <w:rFonts w:ascii="Arial" w:hAnsi="Arial" w:cs="Arial"/>
        </w:rPr>
        <w:t>, jako tomu bylo dříve)</w:t>
      </w:r>
      <w:r w:rsidR="00AC2F28">
        <w:rPr>
          <w:rFonts w:ascii="Arial" w:hAnsi="Arial" w:cs="Arial"/>
        </w:rPr>
        <w:t xml:space="preserve">, </w:t>
      </w:r>
      <w:r w:rsidR="00AC2F28" w:rsidRPr="00701336">
        <w:rPr>
          <w:rFonts w:ascii="Arial" w:hAnsi="Arial" w:cs="Arial"/>
        </w:rPr>
        <w:t>zákaz poskytovat účastníkovi hry jakoukoli výhodu v podobě potravin, nápojů, tabákových výrobků nebo povzbuzujících látek</w:t>
      </w:r>
      <w:r w:rsidR="00AC2F28" w:rsidRPr="00701336">
        <w:rPr>
          <w:rFonts w:ascii="Arial" w:hAnsi="Arial" w:cs="Arial"/>
          <w:i/>
        </w:rPr>
        <w:t>,</w:t>
      </w:r>
      <w:r w:rsidR="00AC2F28">
        <w:rPr>
          <w:rFonts w:ascii="Arial" w:hAnsi="Arial" w:cs="Arial"/>
        </w:rPr>
        <w:t xml:space="preserve"> zákaz umísťování reklam a propagací </w:t>
      </w:r>
      <w:r w:rsidR="00AC2F28" w:rsidRPr="00701336">
        <w:rPr>
          <w:rFonts w:ascii="Arial" w:hAnsi="Arial" w:cs="Arial"/>
        </w:rPr>
        <w:t>na budově nebo ve veřejně přístupné vnitřní části budovy, ve které se nachází</w:t>
      </w:r>
      <w:r w:rsidR="00AC2F28" w:rsidRPr="00AC2F28">
        <w:rPr>
          <w:rFonts w:ascii="Arial" w:hAnsi="Arial" w:cs="Arial"/>
        </w:rPr>
        <w:t xml:space="preserve"> </w:t>
      </w:r>
      <w:r w:rsidR="00AC2F28" w:rsidRPr="00701336">
        <w:rPr>
          <w:rFonts w:ascii="Arial" w:hAnsi="Arial" w:cs="Arial"/>
        </w:rPr>
        <w:t>herní prostor,</w:t>
      </w:r>
      <w:r w:rsidR="00AC2F28">
        <w:rPr>
          <w:rFonts w:ascii="Arial" w:hAnsi="Arial" w:cs="Arial"/>
        </w:rPr>
        <w:t xml:space="preserve"> znemožnění nahlížení do herního prostoru z vnějších prostor</w:t>
      </w:r>
      <w:r w:rsidR="00C06BC4">
        <w:rPr>
          <w:rFonts w:ascii="Arial" w:hAnsi="Arial" w:cs="Arial"/>
        </w:rPr>
        <w:t>,</w:t>
      </w:r>
      <w:r w:rsidR="00AC2F28" w:rsidRPr="00701336">
        <w:rPr>
          <w:rFonts w:ascii="Arial" w:hAnsi="Arial" w:cs="Arial"/>
        </w:rPr>
        <w:t xml:space="preserve"> zákaz provozovatelům přijímat nepeněžní vklady a sázky,</w:t>
      </w:r>
      <w:r w:rsidR="00AC2F28">
        <w:rPr>
          <w:rFonts w:ascii="Arial" w:hAnsi="Arial" w:cs="Arial"/>
        </w:rPr>
        <w:t xml:space="preserve"> </w:t>
      </w:r>
      <w:r w:rsidR="00AC2F28" w:rsidRPr="00701336">
        <w:rPr>
          <w:rFonts w:ascii="Arial" w:hAnsi="Arial" w:cs="Arial"/>
        </w:rPr>
        <w:t xml:space="preserve">povinnou registraci </w:t>
      </w:r>
      <w:r w:rsidR="00C06BC4">
        <w:rPr>
          <w:rFonts w:ascii="Arial" w:hAnsi="Arial" w:cs="Arial"/>
        </w:rPr>
        <w:t xml:space="preserve">hráčů </w:t>
      </w:r>
      <w:r w:rsidR="00AC2F28" w:rsidRPr="00701336">
        <w:rPr>
          <w:rFonts w:ascii="Arial" w:hAnsi="Arial" w:cs="Arial"/>
        </w:rPr>
        <w:t>u technických her, internetového hraní a kurzových sázek,</w:t>
      </w:r>
      <w:r w:rsidR="00AC2F28">
        <w:rPr>
          <w:rFonts w:ascii="Arial" w:hAnsi="Arial" w:cs="Arial"/>
        </w:rPr>
        <w:t xml:space="preserve"> </w:t>
      </w:r>
      <w:r w:rsidR="00AC2F28" w:rsidRPr="00701336">
        <w:rPr>
          <w:rFonts w:ascii="Arial" w:hAnsi="Arial" w:cs="Arial"/>
        </w:rPr>
        <w:t>možnost, ab</w:t>
      </w:r>
      <w:r w:rsidR="00AC2F28">
        <w:rPr>
          <w:rFonts w:ascii="Arial" w:hAnsi="Arial" w:cs="Arial"/>
        </w:rPr>
        <w:t>y si účastník hry zavedl sebeomezující opatření, z</w:t>
      </w:r>
      <w:r w:rsidR="00AC2F28" w:rsidRPr="00701336">
        <w:rPr>
          <w:rFonts w:ascii="Arial" w:hAnsi="Arial" w:cs="Arial"/>
        </w:rPr>
        <w:t>avedení rejstříku fyzických osob vyloučených z účasti na</w:t>
      </w:r>
      <w:r w:rsidR="00AC2F28">
        <w:rPr>
          <w:rFonts w:ascii="Arial" w:hAnsi="Arial" w:cs="Arial"/>
        </w:rPr>
        <w:t xml:space="preserve"> hazardních hrách, povinnost </w:t>
      </w:r>
      <w:r w:rsidR="00AC2F28" w:rsidRPr="00701336">
        <w:rPr>
          <w:rFonts w:ascii="Arial" w:hAnsi="Arial" w:cs="Arial"/>
        </w:rPr>
        <w:t>provozovatel</w:t>
      </w:r>
      <w:r w:rsidR="00AC2F28">
        <w:rPr>
          <w:rFonts w:ascii="Arial" w:hAnsi="Arial" w:cs="Arial"/>
        </w:rPr>
        <w:t>e</w:t>
      </w:r>
      <w:r w:rsidR="00AC2F28" w:rsidRPr="00701336">
        <w:rPr>
          <w:rFonts w:ascii="Arial" w:hAnsi="Arial" w:cs="Arial"/>
        </w:rPr>
        <w:t xml:space="preserve"> herny nebo kasina </w:t>
      </w:r>
      <w:r w:rsidR="00AC2F28">
        <w:rPr>
          <w:rFonts w:ascii="Arial" w:hAnsi="Arial" w:cs="Arial"/>
        </w:rPr>
        <w:t>identifikovat</w:t>
      </w:r>
      <w:r w:rsidR="00AC2F28" w:rsidRPr="00701336">
        <w:rPr>
          <w:rFonts w:ascii="Arial" w:hAnsi="Arial" w:cs="Arial"/>
        </w:rPr>
        <w:t xml:space="preserve"> n</w:t>
      </w:r>
      <w:r w:rsidR="00AC2F28">
        <w:rPr>
          <w:rFonts w:ascii="Arial" w:hAnsi="Arial" w:cs="Arial"/>
        </w:rPr>
        <w:t xml:space="preserve">ávštěvníka, </w:t>
      </w:r>
      <w:r w:rsidR="00AC2F28" w:rsidRPr="00701336">
        <w:rPr>
          <w:rFonts w:ascii="Arial" w:hAnsi="Arial" w:cs="Arial"/>
        </w:rPr>
        <w:t xml:space="preserve">ověřit jeho věk </w:t>
      </w:r>
      <w:r w:rsidR="00AC2F28">
        <w:rPr>
          <w:rFonts w:ascii="Arial" w:hAnsi="Arial" w:cs="Arial"/>
        </w:rPr>
        <w:t xml:space="preserve">a </w:t>
      </w:r>
      <w:r w:rsidR="00AC2F28" w:rsidRPr="00701336">
        <w:rPr>
          <w:rFonts w:ascii="Arial" w:hAnsi="Arial" w:cs="Arial"/>
        </w:rPr>
        <w:t>zda je zapsán v rejstříku fyzických osob vyloučených z účasti na hazardních hrách,</w:t>
      </w:r>
      <w:r w:rsidR="00AC2F28">
        <w:rPr>
          <w:rFonts w:ascii="Arial" w:hAnsi="Arial" w:cs="Arial"/>
        </w:rPr>
        <w:t xml:space="preserve"> </w:t>
      </w:r>
      <w:r w:rsidR="00C06BC4">
        <w:rPr>
          <w:rFonts w:ascii="Arial" w:hAnsi="Arial" w:cs="Arial"/>
        </w:rPr>
        <w:t xml:space="preserve">povinnost </w:t>
      </w:r>
      <w:r w:rsidR="00AC2F28">
        <w:rPr>
          <w:rFonts w:ascii="Arial" w:hAnsi="Arial" w:cs="Arial"/>
        </w:rPr>
        <w:t>v</w:t>
      </w:r>
      <w:r w:rsidR="00AC2F28" w:rsidRPr="00701336">
        <w:rPr>
          <w:rFonts w:ascii="Arial" w:hAnsi="Arial" w:cs="Arial"/>
        </w:rPr>
        <w:t>ést denní evidenci všech návštěvníků</w:t>
      </w:r>
      <w:r w:rsidR="00C06BC4">
        <w:rPr>
          <w:rFonts w:ascii="Arial" w:hAnsi="Arial" w:cs="Arial"/>
        </w:rPr>
        <w:t xml:space="preserve"> a</w:t>
      </w:r>
      <w:r w:rsidR="00AC2F28" w:rsidRPr="00701336">
        <w:rPr>
          <w:rFonts w:ascii="Arial" w:hAnsi="Arial" w:cs="Arial"/>
        </w:rPr>
        <w:t xml:space="preserve"> průběžně monitorovat</w:t>
      </w:r>
      <w:r w:rsidR="00DE145B">
        <w:rPr>
          <w:rFonts w:ascii="Arial" w:hAnsi="Arial" w:cs="Arial"/>
        </w:rPr>
        <w:t xml:space="preserve"> herní prost</w:t>
      </w:r>
      <w:r w:rsidR="00AC2F28">
        <w:rPr>
          <w:rFonts w:ascii="Arial" w:hAnsi="Arial" w:cs="Arial"/>
        </w:rPr>
        <w:t xml:space="preserve">ory, apod. </w:t>
      </w:r>
    </w:p>
    <w:p w:rsidR="00AC2F28" w:rsidRDefault="00AC2F28" w:rsidP="0033276D">
      <w:pPr>
        <w:widowControl/>
        <w:autoSpaceDE/>
        <w:autoSpaceDN/>
        <w:jc w:val="both"/>
        <w:rPr>
          <w:rFonts w:ascii="Arial" w:hAnsi="Arial" w:cs="Arial"/>
        </w:rPr>
      </w:pPr>
    </w:p>
    <w:p w:rsidR="00AC2F28" w:rsidRPr="00AC2F28" w:rsidRDefault="00AC2F28" w:rsidP="0033276D">
      <w:pPr>
        <w:widowControl/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C2F28">
        <w:rPr>
          <w:rFonts w:ascii="Arial" w:hAnsi="Arial" w:cs="Arial"/>
        </w:rPr>
        <w:t>ovolení k umístění herního prostoru k provozování binga, technické hry a živé hry uděluje</w:t>
      </w:r>
      <w:r w:rsidR="00612F9B">
        <w:rPr>
          <w:rFonts w:ascii="Arial" w:hAnsi="Arial" w:cs="Arial"/>
        </w:rPr>
        <w:t xml:space="preserve"> na základě § 104 zákona o hazardních hrách</w:t>
      </w:r>
      <w:r w:rsidRPr="00AC2F28">
        <w:rPr>
          <w:rFonts w:ascii="Arial" w:hAnsi="Arial" w:cs="Arial"/>
        </w:rPr>
        <w:t xml:space="preserve"> v přenesené p</w:t>
      </w:r>
      <w:r w:rsidR="00612F9B">
        <w:rPr>
          <w:rFonts w:ascii="Arial" w:hAnsi="Arial" w:cs="Arial"/>
        </w:rPr>
        <w:t>ůsobnosti příslušný obecní úřad.</w:t>
      </w:r>
      <w:r w:rsidR="00E70B0F">
        <w:rPr>
          <w:rFonts w:ascii="Arial" w:hAnsi="Arial" w:cs="Arial"/>
        </w:rPr>
        <w:t xml:space="preserve"> T</w:t>
      </w:r>
      <w:r w:rsidRPr="00AC2F28">
        <w:rPr>
          <w:rFonts w:ascii="Arial" w:hAnsi="Arial" w:cs="Arial"/>
        </w:rPr>
        <w:t xml:space="preserve">oto povolení </w:t>
      </w:r>
      <w:r w:rsidR="00612F9B">
        <w:rPr>
          <w:rFonts w:ascii="Arial" w:hAnsi="Arial" w:cs="Arial"/>
        </w:rPr>
        <w:t xml:space="preserve">může </w:t>
      </w:r>
      <w:r w:rsidRPr="00AC2F28">
        <w:rPr>
          <w:rFonts w:ascii="Arial" w:hAnsi="Arial" w:cs="Arial"/>
        </w:rPr>
        <w:t xml:space="preserve"> obecní úřad zrušit, změní-li se podmínky nebo bude-li provozovatel opakovaně porušovat předpisy upravující hazardní hry.</w:t>
      </w:r>
    </w:p>
    <w:p w:rsidR="002328B9" w:rsidRDefault="002328B9" w:rsidP="00DB6743">
      <w:pPr>
        <w:widowControl/>
        <w:adjustRightInd w:val="0"/>
        <w:jc w:val="both"/>
        <w:rPr>
          <w:rFonts w:ascii="Arial" w:hAnsi="Arial" w:cs="Arial"/>
        </w:rPr>
      </w:pPr>
    </w:p>
    <w:p w:rsidR="002328B9" w:rsidRDefault="00612F9B" w:rsidP="00DB6743">
      <w:pPr>
        <w:widowControl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povolování umístění herního prostoru </w:t>
      </w:r>
      <w:r w:rsidR="00DE145B">
        <w:rPr>
          <w:rFonts w:ascii="Arial" w:hAnsi="Arial" w:cs="Arial"/>
        </w:rPr>
        <w:t xml:space="preserve">musí </w:t>
      </w:r>
      <w:r>
        <w:rPr>
          <w:rFonts w:ascii="Arial" w:hAnsi="Arial" w:cs="Arial"/>
        </w:rPr>
        <w:t xml:space="preserve">obecní úřad </w:t>
      </w:r>
      <w:r w:rsidR="00DE145B">
        <w:rPr>
          <w:rFonts w:ascii="Arial" w:hAnsi="Arial" w:cs="Arial"/>
        </w:rPr>
        <w:t xml:space="preserve">respektovat případnou místní vyhlášku regulující </w:t>
      </w:r>
      <w:r>
        <w:rPr>
          <w:rFonts w:ascii="Arial" w:hAnsi="Arial" w:cs="Arial"/>
        </w:rPr>
        <w:t>hazardní</w:t>
      </w:r>
      <w:r w:rsidR="0063666F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h</w:t>
      </w:r>
      <w:r w:rsidR="0063666F">
        <w:rPr>
          <w:rFonts w:ascii="Arial" w:hAnsi="Arial" w:cs="Arial"/>
        </w:rPr>
        <w:t>e</w:t>
      </w:r>
      <w:r>
        <w:rPr>
          <w:rFonts w:ascii="Arial" w:hAnsi="Arial" w:cs="Arial"/>
        </w:rPr>
        <w:t>r.</w:t>
      </w:r>
      <w:r w:rsidR="0063666F">
        <w:rPr>
          <w:rFonts w:ascii="Arial" w:hAnsi="Arial" w:cs="Arial"/>
        </w:rPr>
        <w:t xml:space="preserve"> </w:t>
      </w:r>
    </w:p>
    <w:p w:rsidR="0063666F" w:rsidRDefault="0063666F" w:rsidP="00DB6743">
      <w:pPr>
        <w:widowControl/>
        <w:adjustRightInd w:val="0"/>
        <w:jc w:val="both"/>
        <w:rPr>
          <w:rFonts w:ascii="Arial" w:hAnsi="Arial" w:cs="Arial"/>
        </w:rPr>
      </w:pPr>
    </w:p>
    <w:p w:rsidR="0063666F" w:rsidRDefault="00612F9B" w:rsidP="00DB6743">
      <w:pPr>
        <w:widowControl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Dne </w:t>
      </w:r>
      <w:r>
        <w:rPr>
          <w:rFonts w:ascii="Arial" w:hAnsi="Arial" w:cs="Arial"/>
        </w:rPr>
        <w:t xml:space="preserve">25. 4. 2024 </w:t>
      </w:r>
      <w:r w:rsidR="0063666F">
        <w:rPr>
          <w:rFonts w:ascii="Arial" w:hAnsi="Arial" w:cs="Arial"/>
        </w:rPr>
        <w:t>přijalo Z</w:t>
      </w:r>
      <w:r>
        <w:rPr>
          <w:rFonts w:ascii="Arial" w:hAnsi="Arial" w:cs="Arial"/>
        </w:rPr>
        <w:t>astupitelstvo města Zlína</w:t>
      </w:r>
      <w:r w:rsidR="00C61733">
        <w:rPr>
          <w:rFonts w:ascii="Arial" w:hAnsi="Arial" w:cs="Arial"/>
        </w:rPr>
        <w:t xml:space="preserve"> (dále jen „ZMZ“)</w:t>
      </w:r>
      <w:r>
        <w:rPr>
          <w:rFonts w:ascii="Arial" w:hAnsi="Arial" w:cs="Arial"/>
        </w:rPr>
        <w:t xml:space="preserve"> </w:t>
      </w:r>
      <w:r w:rsidR="00C06BC4">
        <w:rPr>
          <w:rFonts w:ascii="Arial" w:hAnsi="Arial" w:cs="Arial"/>
        </w:rPr>
        <w:t xml:space="preserve">stávající </w:t>
      </w:r>
      <w:r>
        <w:rPr>
          <w:rFonts w:ascii="Arial" w:hAnsi="Arial" w:cs="Arial"/>
        </w:rPr>
        <w:t>obecně závaznou vyhlášku č. 4/2024</w:t>
      </w:r>
      <w:r w:rsidR="00DB7814">
        <w:rPr>
          <w:rFonts w:ascii="Arial" w:hAnsi="Arial" w:cs="Arial"/>
          <w:color w:val="000000"/>
        </w:rPr>
        <w:t xml:space="preserve"> o určení míst, na kterých mohou být provozovány hazardní hry</w:t>
      </w:r>
      <w:r w:rsidR="0063666F">
        <w:rPr>
          <w:rFonts w:ascii="Arial" w:hAnsi="Arial" w:cs="Arial"/>
          <w:color w:val="000000"/>
        </w:rPr>
        <w:t xml:space="preserve"> (dále jen „</w:t>
      </w:r>
      <w:r w:rsidR="00C61733">
        <w:rPr>
          <w:rFonts w:ascii="Arial" w:hAnsi="Arial" w:cs="Arial"/>
          <w:color w:val="000000"/>
        </w:rPr>
        <w:t>V</w:t>
      </w:r>
      <w:r w:rsidR="0063666F">
        <w:rPr>
          <w:rFonts w:ascii="Arial" w:hAnsi="Arial" w:cs="Arial"/>
          <w:color w:val="000000"/>
        </w:rPr>
        <w:t xml:space="preserve">yhláška“), která </w:t>
      </w:r>
      <w:r>
        <w:rPr>
          <w:rFonts w:ascii="Arial" w:hAnsi="Arial" w:cs="Arial"/>
          <w:color w:val="000000"/>
        </w:rPr>
        <w:t xml:space="preserve">ve své příloze stanovuje </w:t>
      </w:r>
      <w:r w:rsidR="00DB7814">
        <w:rPr>
          <w:rFonts w:ascii="Arial" w:hAnsi="Arial" w:cs="Arial"/>
          <w:color w:val="000000"/>
        </w:rPr>
        <w:t>míst</w:t>
      </w:r>
      <w:r>
        <w:rPr>
          <w:rFonts w:ascii="Arial" w:hAnsi="Arial" w:cs="Arial"/>
          <w:color w:val="000000"/>
        </w:rPr>
        <w:t>a</w:t>
      </w:r>
      <w:r w:rsidR="00DB7814">
        <w:rPr>
          <w:rFonts w:ascii="Arial" w:hAnsi="Arial" w:cs="Arial"/>
          <w:color w:val="000000"/>
        </w:rPr>
        <w:t xml:space="preserve"> s povoleným provozem hazardních her.</w:t>
      </w:r>
      <w:r w:rsidR="0063666F">
        <w:rPr>
          <w:rFonts w:ascii="Arial" w:hAnsi="Arial" w:cs="Arial"/>
          <w:color w:val="000000"/>
        </w:rPr>
        <w:t xml:space="preserve"> Z hazardních her, které umožňuje obcím regulovat § 12 zákona o hazardních hrách (</w:t>
      </w:r>
      <w:r w:rsidR="0063666F" w:rsidRPr="0063666F">
        <w:rPr>
          <w:rFonts w:ascii="Arial" w:hAnsi="Arial" w:cs="Arial"/>
          <w:bCs/>
        </w:rPr>
        <w:t>bingo,</w:t>
      </w:r>
      <w:r w:rsidR="0063666F">
        <w:rPr>
          <w:rFonts w:ascii="Arial" w:hAnsi="Arial" w:cs="Arial"/>
          <w:bCs/>
        </w:rPr>
        <w:t xml:space="preserve"> </w:t>
      </w:r>
      <w:r w:rsidR="0063666F" w:rsidRPr="0063666F">
        <w:rPr>
          <w:rFonts w:ascii="Arial" w:hAnsi="Arial" w:cs="Arial"/>
          <w:bCs/>
        </w:rPr>
        <w:t>technickou hru, živou hru a</w:t>
      </w:r>
      <w:r w:rsidR="0063666F">
        <w:rPr>
          <w:rFonts w:ascii="Arial" w:hAnsi="Arial" w:cs="Arial"/>
          <w:bCs/>
        </w:rPr>
        <w:t xml:space="preserve"> </w:t>
      </w:r>
      <w:r w:rsidR="0063666F" w:rsidRPr="0063666F">
        <w:rPr>
          <w:rFonts w:ascii="Arial" w:hAnsi="Arial" w:cs="Arial"/>
          <w:bCs/>
        </w:rPr>
        <w:t>turnaj malého rozsahu</w:t>
      </w:r>
      <w:r w:rsidR="0063666F">
        <w:rPr>
          <w:rFonts w:ascii="Arial" w:hAnsi="Arial" w:cs="Arial"/>
          <w:bCs/>
        </w:rPr>
        <w:t xml:space="preserve">), </w:t>
      </w:r>
      <w:r w:rsidR="0063666F" w:rsidRPr="00F13F4A">
        <w:rPr>
          <w:rFonts w:ascii="Arial" w:hAnsi="Arial" w:cs="Arial"/>
        </w:rPr>
        <w:t>reguluje</w:t>
      </w:r>
      <w:r w:rsidR="00C61733">
        <w:rPr>
          <w:rFonts w:ascii="Arial" w:hAnsi="Arial" w:cs="Arial"/>
        </w:rPr>
        <w:t xml:space="preserve"> V</w:t>
      </w:r>
      <w:r w:rsidR="0063666F">
        <w:rPr>
          <w:rFonts w:ascii="Arial" w:hAnsi="Arial" w:cs="Arial"/>
        </w:rPr>
        <w:t xml:space="preserve">yhláška </w:t>
      </w:r>
      <w:r w:rsidR="0063666F" w:rsidRPr="00F13F4A">
        <w:rPr>
          <w:rFonts w:ascii="Arial" w:hAnsi="Arial" w:cs="Arial"/>
        </w:rPr>
        <w:t>pouze bi</w:t>
      </w:r>
      <w:r w:rsidR="0063666F">
        <w:rPr>
          <w:rFonts w:ascii="Arial" w:hAnsi="Arial" w:cs="Arial"/>
        </w:rPr>
        <w:t xml:space="preserve">ngo, technickou hru a živou hru, neboť </w:t>
      </w:r>
      <w:r w:rsidR="0063666F" w:rsidRPr="00F13F4A">
        <w:rPr>
          <w:rFonts w:ascii="Arial" w:hAnsi="Arial" w:cs="Arial"/>
        </w:rPr>
        <w:t>u turnaje malého rozsahu</w:t>
      </w:r>
      <w:r w:rsidR="0063666F" w:rsidRPr="0063666F">
        <w:rPr>
          <w:rFonts w:ascii="Arial" w:hAnsi="Arial" w:cs="Arial"/>
        </w:rPr>
        <w:t xml:space="preserve"> </w:t>
      </w:r>
      <w:r w:rsidR="0063666F" w:rsidRPr="00F13F4A">
        <w:rPr>
          <w:rFonts w:ascii="Arial" w:hAnsi="Arial" w:cs="Arial"/>
        </w:rPr>
        <w:t>je sh</w:t>
      </w:r>
      <w:r w:rsidR="0063666F">
        <w:rPr>
          <w:rFonts w:ascii="Arial" w:hAnsi="Arial" w:cs="Arial"/>
        </w:rPr>
        <w:t>ledávána nízká společenská nebezpečnost v důsledku výrazně omezené výše vkladu do hry a skutečnosti, že se v pra</w:t>
      </w:r>
      <w:r w:rsidR="00C61733">
        <w:rPr>
          <w:rFonts w:ascii="Arial" w:hAnsi="Arial" w:cs="Arial"/>
        </w:rPr>
        <w:t>x</w:t>
      </w:r>
      <w:r w:rsidR="0063666F">
        <w:rPr>
          <w:rFonts w:ascii="Arial" w:hAnsi="Arial" w:cs="Arial"/>
        </w:rPr>
        <w:t xml:space="preserve">i nejedná o preferovanou hazardní hru, </w:t>
      </w:r>
    </w:p>
    <w:p w:rsidR="002328B9" w:rsidRPr="00C00C8A" w:rsidRDefault="002328B9" w:rsidP="00DB6743">
      <w:pPr>
        <w:widowControl/>
        <w:adjustRightInd w:val="0"/>
        <w:jc w:val="both"/>
      </w:pPr>
    </w:p>
    <w:p w:rsidR="00526116" w:rsidRDefault="0063666F" w:rsidP="00DB6743">
      <w:pPr>
        <w:widowControl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Zároveň s přijetím </w:t>
      </w:r>
      <w:r w:rsidR="00C61733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yhlášky </w:t>
      </w:r>
      <w:r w:rsidR="0087184D">
        <w:rPr>
          <w:rFonts w:ascii="Arial" w:hAnsi="Arial" w:cs="Arial"/>
          <w:color w:val="000000"/>
        </w:rPr>
        <w:t xml:space="preserve">přijalo </w:t>
      </w:r>
      <w:r w:rsidR="00C06BC4">
        <w:rPr>
          <w:rFonts w:ascii="Arial" w:hAnsi="Arial" w:cs="Arial"/>
          <w:color w:val="000000"/>
        </w:rPr>
        <w:t>ZMZ</w:t>
      </w:r>
      <w:r w:rsidR="00C06BC4" w:rsidDel="0087184D">
        <w:rPr>
          <w:rFonts w:ascii="Arial" w:hAnsi="Arial" w:cs="Arial"/>
          <w:color w:val="000000"/>
        </w:rPr>
        <w:t xml:space="preserve"> </w:t>
      </w:r>
      <w:r w:rsidR="005B7A89">
        <w:rPr>
          <w:rFonts w:ascii="Arial" w:hAnsi="Arial" w:cs="Arial"/>
        </w:rPr>
        <w:t xml:space="preserve">Pravidla pro určování míst, na kterých mohou být na území </w:t>
      </w:r>
      <w:r w:rsidR="0087184D">
        <w:rPr>
          <w:rFonts w:ascii="Arial" w:hAnsi="Arial" w:cs="Arial"/>
        </w:rPr>
        <w:t>statutárního města Zlína</w:t>
      </w:r>
      <w:r w:rsidR="00C06BC4">
        <w:rPr>
          <w:rFonts w:ascii="Arial" w:hAnsi="Arial" w:cs="Arial"/>
        </w:rPr>
        <w:t xml:space="preserve"> (dále jen „SMZ“)</w:t>
      </w:r>
      <w:r w:rsidR="00C61733">
        <w:rPr>
          <w:rFonts w:ascii="Arial" w:hAnsi="Arial" w:cs="Arial"/>
        </w:rPr>
        <w:t xml:space="preserve"> </w:t>
      </w:r>
      <w:r w:rsidR="005B7A89">
        <w:rPr>
          <w:rFonts w:ascii="Arial" w:hAnsi="Arial" w:cs="Arial"/>
        </w:rPr>
        <w:t>provozovány hazardní hry (dále jen „</w:t>
      </w:r>
      <w:r w:rsidR="005B7A89" w:rsidRPr="0033276D">
        <w:rPr>
          <w:rFonts w:ascii="Arial" w:hAnsi="Arial" w:cs="Arial"/>
        </w:rPr>
        <w:t>Pravidla</w:t>
      </w:r>
      <w:r w:rsidR="005B7A89">
        <w:rPr>
          <w:rFonts w:ascii="Arial" w:hAnsi="Arial" w:cs="Arial"/>
        </w:rPr>
        <w:t>“)</w:t>
      </w:r>
      <w:r w:rsidR="0087184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stanovující podmínky a limity, </w:t>
      </w:r>
      <w:r w:rsidR="0087184D">
        <w:rPr>
          <w:rFonts w:ascii="Arial" w:hAnsi="Arial" w:cs="Arial"/>
        </w:rPr>
        <w:t xml:space="preserve">na základě kterých bude moci být </w:t>
      </w:r>
      <w:r>
        <w:rPr>
          <w:rFonts w:ascii="Arial" w:hAnsi="Arial" w:cs="Arial"/>
        </w:rPr>
        <w:t xml:space="preserve">v příloze </w:t>
      </w:r>
      <w:r w:rsidR="00C6173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yhlášky </w:t>
      </w:r>
      <w:r w:rsidR="0087184D">
        <w:rPr>
          <w:rFonts w:ascii="Arial" w:hAnsi="Arial" w:cs="Arial"/>
        </w:rPr>
        <w:t xml:space="preserve">přidáno či vypuštěno některé z míst s povoleným provozem hazardních her. </w:t>
      </w:r>
    </w:p>
    <w:p w:rsidR="005B7A89" w:rsidRDefault="005B7A89" w:rsidP="00DB6743">
      <w:pPr>
        <w:widowControl/>
        <w:adjustRightInd w:val="0"/>
        <w:jc w:val="both"/>
        <w:rPr>
          <w:rFonts w:ascii="Arial" w:hAnsi="Arial" w:cs="Arial"/>
        </w:rPr>
      </w:pPr>
    </w:p>
    <w:p w:rsidR="00E93D88" w:rsidRDefault="00E93D88" w:rsidP="00DB6743">
      <w:pPr>
        <w:widowControl/>
        <w:adjustRightInd w:val="0"/>
        <w:jc w:val="both"/>
        <w:rPr>
          <w:rFonts w:ascii="Arial" w:hAnsi="Arial" w:cs="Arial"/>
        </w:rPr>
      </w:pPr>
      <w:r w:rsidRPr="0033276D">
        <w:rPr>
          <w:rFonts w:ascii="Arial" w:hAnsi="Arial" w:cs="Arial"/>
        </w:rPr>
        <w:t>Pravidla</w:t>
      </w:r>
      <w:r>
        <w:rPr>
          <w:rFonts w:ascii="Arial" w:hAnsi="Arial" w:cs="Arial"/>
        </w:rPr>
        <w:t xml:space="preserve"> akceptují historicky dlouhodobě prosazovanou a dodržovanou zásadu, že regulované hazardní hry nebudou povolovány v centrální části </w:t>
      </w:r>
      <w:r w:rsidR="00C06BC4">
        <w:rPr>
          <w:rFonts w:ascii="Arial" w:hAnsi="Arial" w:cs="Arial"/>
        </w:rPr>
        <w:t xml:space="preserve">SMZ </w:t>
      </w:r>
      <w:r>
        <w:rPr>
          <w:rFonts w:ascii="Arial" w:hAnsi="Arial" w:cs="Arial"/>
        </w:rPr>
        <w:t xml:space="preserve">dle grafického znázornění uvedeného v Pravidlech (dále jen „zákazová zóna“). Zákazová zóna byla v této podobě vymezena již </w:t>
      </w:r>
      <w:r w:rsidR="004E4369">
        <w:rPr>
          <w:rFonts w:ascii="Arial" w:hAnsi="Arial" w:cs="Arial"/>
        </w:rPr>
        <w:t xml:space="preserve">historicky </w:t>
      </w:r>
      <w:r>
        <w:rPr>
          <w:rFonts w:ascii="Arial" w:hAnsi="Arial" w:cs="Arial"/>
        </w:rPr>
        <w:t xml:space="preserve">v roce 2012, kdy SMZ přijalo dlouhodobou strategii regulace hazardu, a její vymezení </w:t>
      </w:r>
      <w:r w:rsidR="004E4369">
        <w:rPr>
          <w:rFonts w:ascii="Arial" w:hAnsi="Arial" w:cs="Arial"/>
        </w:rPr>
        <w:t xml:space="preserve">bylo </w:t>
      </w:r>
      <w:r>
        <w:rPr>
          <w:rFonts w:ascii="Arial" w:hAnsi="Arial" w:cs="Arial"/>
        </w:rPr>
        <w:t>respektováno i předchozími vyhláškami, které postupně regulovaly hazard na území SMZ.</w:t>
      </w:r>
    </w:p>
    <w:p w:rsidR="00E93D88" w:rsidRDefault="00E93D88" w:rsidP="00E93D88">
      <w:pPr>
        <w:widowControl/>
        <w:adjustRightInd w:val="0"/>
        <w:rPr>
          <w:rFonts w:ascii="Arial" w:hAnsi="Arial" w:cs="Arial"/>
        </w:rPr>
      </w:pPr>
    </w:p>
    <w:p w:rsidR="00E93D88" w:rsidRDefault="00E93D88" w:rsidP="00C61733">
      <w:pPr>
        <w:widowControl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Mimo zákazovou zónu </w:t>
      </w:r>
      <w:r w:rsidR="004E4369">
        <w:rPr>
          <w:rFonts w:ascii="Arial" w:hAnsi="Arial" w:cs="Arial"/>
        </w:rPr>
        <w:t>mohou</w:t>
      </w:r>
      <w:r>
        <w:rPr>
          <w:rFonts w:ascii="Arial" w:hAnsi="Arial" w:cs="Arial"/>
        </w:rPr>
        <w:t xml:space="preserve"> být hazardní hry provozovány jen v budovách stanovených</w:t>
      </w:r>
      <w:r w:rsidR="00DB6743">
        <w:rPr>
          <w:rFonts w:ascii="Arial" w:hAnsi="Arial" w:cs="Arial"/>
        </w:rPr>
        <w:t xml:space="preserve"> </w:t>
      </w:r>
      <w:r w:rsidRPr="0033276D">
        <w:rPr>
          <w:rFonts w:ascii="Arial" w:hAnsi="Arial" w:cs="Arial"/>
        </w:rPr>
        <w:t xml:space="preserve">v příloze </w:t>
      </w:r>
      <w:r w:rsidR="00C61733">
        <w:rPr>
          <w:rFonts w:ascii="Arial" w:hAnsi="Arial" w:cs="Arial"/>
        </w:rPr>
        <w:t>V</w:t>
      </w:r>
      <w:r w:rsidRPr="0033276D">
        <w:rPr>
          <w:rFonts w:ascii="Arial" w:hAnsi="Arial" w:cs="Arial"/>
        </w:rPr>
        <w:t>yhlášky</w:t>
      </w:r>
      <w:r>
        <w:rPr>
          <w:rFonts w:ascii="Arial" w:hAnsi="Arial" w:cs="Arial"/>
        </w:rPr>
        <w:t xml:space="preserve">. Ke dni přijetí </w:t>
      </w:r>
      <w:r w:rsidR="00C6173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yhlášky se </w:t>
      </w:r>
      <w:r w:rsidR="00C61733">
        <w:rPr>
          <w:rFonts w:ascii="Arial" w:hAnsi="Arial" w:cs="Arial"/>
        </w:rPr>
        <w:t>jednalo</w:t>
      </w:r>
      <w:r>
        <w:rPr>
          <w:rFonts w:ascii="Arial" w:hAnsi="Arial" w:cs="Arial"/>
        </w:rPr>
        <w:t xml:space="preserve"> o 11 stávajících budov, v rámci nichž exist</w:t>
      </w:r>
      <w:r w:rsidR="00C61733">
        <w:rPr>
          <w:rFonts w:ascii="Arial" w:hAnsi="Arial" w:cs="Arial"/>
        </w:rPr>
        <w:t>ovalo</w:t>
      </w:r>
      <w:r>
        <w:rPr>
          <w:rFonts w:ascii="Arial" w:hAnsi="Arial" w:cs="Arial"/>
        </w:rPr>
        <w:t xml:space="preserve"> platné a účinné rozhodnutí o povolení herního prostoru.</w:t>
      </w:r>
      <w:r w:rsidR="004E4369">
        <w:rPr>
          <w:rFonts w:ascii="Arial" w:hAnsi="Arial" w:cs="Arial"/>
        </w:rPr>
        <w:t xml:space="preserve"> </w:t>
      </w:r>
      <w:r w:rsidR="00C61733">
        <w:rPr>
          <w:rFonts w:ascii="Arial" w:hAnsi="Arial" w:cs="Arial"/>
        </w:rPr>
        <w:t>Pravidla stanovují</w:t>
      </w:r>
      <w:r>
        <w:rPr>
          <w:rFonts w:ascii="Arial" w:hAnsi="Arial" w:cs="Arial"/>
        </w:rPr>
        <w:t xml:space="preserve"> určitý prostor pro navýšení tohoto počtu míst pro případné další provozovatele, avšak do maximálního počtu 15 budov, které hypoteticky mohou být v příloze </w:t>
      </w:r>
      <w:r w:rsidR="00C6173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yhlášky zařazeny. Tento počet zároveň </w:t>
      </w:r>
      <w:r w:rsidR="00C61733">
        <w:rPr>
          <w:rFonts w:ascii="Arial" w:hAnsi="Arial" w:cs="Arial"/>
        </w:rPr>
        <w:t xml:space="preserve">představuje </w:t>
      </w:r>
      <w:r>
        <w:rPr>
          <w:rFonts w:ascii="Arial" w:hAnsi="Arial" w:cs="Arial"/>
        </w:rPr>
        <w:t>„strop“ míst s provozem hazardu na území SMZ, a je tak dalším krokem v rámci strategie postupného snižování celkového počtu takových míst</w:t>
      </w:r>
      <w:r w:rsidR="00C61733">
        <w:rPr>
          <w:rFonts w:ascii="Arial" w:hAnsi="Arial" w:cs="Arial"/>
        </w:rPr>
        <w:t xml:space="preserve"> (oproti předchozí vyhlášce se tento maximální počet míst </w:t>
      </w:r>
      <w:proofErr w:type="gramStart"/>
      <w:r w:rsidR="00C61733">
        <w:rPr>
          <w:rFonts w:ascii="Arial" w:hAnsi="Arial" w:cs="Arial"/>
        </w:rPr>
        <w:t>snížil z 46</w:t>
      </w:r>
      <w:proofErr w:type="gramEnd"/>
      <w:r w:rsidR="00C61733">
        <w:rPr>
          <w:rFonts w:ascii="Arial" w:hAnsi="Arial" w:cs="Arial"/>
        </w:rPr>
        <w:t xml:space="preserve"> na 15)</w:t>
      </w:r>
      <w:r>
        <w:rPr>
          <w:rFonts w:ascii="Arial" w:hAnsi="Arial" w:cs="Arial"/>
        </w:rPr>
        <w:t xml:space="preserve">. </w:t>
      </w:r>
    </w:p>
    <w:p w:rsidR="00E93D88" w:rsidRDefault="00E93D88" w:rsidP="00DB6743">
      <w:pPr>
        <w:widowControl/>
        <w:adjustRightInd w:val="0"/>
        <w:jc w:val="both"/>
        <w:rPr>
          <w:rFonts w:ascii="Arial" w:hAnsi="Arial" w:cs="Arial"/>
        </w:rPr>
      </w:pPr>
    </w:p>
    <w:p w:rsidR="00E93D88" w:rsidRDefault="00C61733" w:rsidP="00DB6743">
      <w:pPr>
        <w:widowControl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Pravidla stanovují také</w:t>
      </w:r>
      <w:r w:rsidR="00E93D88">
        <w:rPr>
          <w:rFonts w:ascii="Arial" w:hAnsi="Arial" w:cs="Arial"/>
        </w:rPr>
        <w:t xml:space="preserve"> postup</w:t>
      </w:r>
      <w:r>
        <w:rPr>
          <w:rFonts w:ascii="Arial" w:hAnsi="Arial" w:cs="Arial"/>
        </w:rPr>
        <w:t xml:space="preserve"> pro případné změny přílohy Vyhlášky</w:t>
      </w:r>
      <w:r w:rsidR="00E93D88">
        <w:rPr>
          <w:rFonts w:ascii="Arial" w:hAnsi="Arial" w:cs="Arial"/>
        </w:rPr>
        <w:t xml:space="preserve">, kdy na žádost držitele platného a účinného úvodního nebo základního povolení dle zákona o hazardních hrách (jedná o výchozí povolení vydávaná MFČR po prokázání obecné způsobilosti provozovat hazardní hry), jejíž součástí bude kvalifikovaný souhlas vlastníka příslušné budovy (aby bylo po soukromoprávní stránce osvědčeno, že konkrétní provozovna bude moci v příslušné budově skutečně vzniknout), bude do přílohy </w:t>
      </w:r>
      <w:r w:rsidR="00C06BC4">
        <w:rPr>
          <w:rFonts w:ascii="Arial" w:hAnsi="Arial" w:cs="Arial"/>
        </w:rPr>
        <w:t>V</w:t>
      </w:r>
      <w:r w:rsidR="00E93D88">
        <w:rPr>
          <w:rFonts w:ascii="Arial" w:hAnsi="Arial" w:cs="Arial"/>
        </w:rPr>
        <w:t xml:space="preserve">yhlášky taková budova zařazena, pokud se nebude jednat o zákazovou zónu v centru SMZ, a pokud tím počet míst s povoleným provozem regulovaných hazardních her nepřekročí 15. </w:t>
      </w:r>
    </w:p>
    <w:p w:rsidR="00E93D88" w:rsidRDefault="00E93D88" w:rsidP="00DB6743">
      <w:pPr>
        <w:widowControl/>
        <w:adjustRightInd w:val="0"/>
        <w:jc w:val="both"/>
        <w:rPr>
          <w:rFonts w:ascii="Arial" w:hAnsi="Arial" w:cs="Arial"/>
        </w:rPr>
      </w:pPr>
    </w:p>
    <w:p w:rsidR="00E93D88" w:rsidRDefault="00E93D88" w:rsidP="00DB6743">
      <w:pPr>
        <w:widowControl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bude žadatelem navrženo, aby do přílohy </w:t>
      </w:r>
      <w:r w:rsidR="00C06BC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yhlášky byla zařazena další budova nad počet 15, bude moci být tato budova do přílohy </w:t>
      </w:r>
      <w:r w:rsidR="00C06BC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yhlášky zařazena pouze v případě, že některá z budov uvedených v příloze </w:t>
      </w:r>
      <w:r w:rsidR="00C06BC4">
        <w:rPr>
          <w:rFonts w:ascii="Arial" w:hAnsi="Arial" w:cs="Arial"/>
        </w:rPr>
        <w:t>V</w:t>
      </w:r>
      <w:r>
        <w:rPr>
          <w:rFonts w:ascii="Arial" w:hAnsi="Arial" w:cs="Arial"/>
        </w:rPr>
        <w:t>yhlášky bude z přílohy vyhlášky vypuštěna. Bude se tak moci stát v případě, že:</w:t>
      </w:r>
    </w:p>
    <w:p w:rsidR="00E93D88" w:rsidRDefault="00E93D88" w:rsidP="00DB6743">
      <w:pPr>
        <w:widowControl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a) nebude po dobu déle než 6 měsíců existovat platné a účinné rozhodnutí o povolení herního prostoru v této budově (tj. fakticky již nebude budova po delší dobu využívána pro provoz regulovaných hazardních her), nebo</w:t>
      </w:r>
    </w:p>
    <w:p w:rsidR="00E93D88" w:rsidRDefault="00E93D88" w:rsidP="00DB6743">
      <w:pPr>
        <w:widowControl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b) o to požádají všichni držitelé platného a účinného povolení herních prostor v příslušné budově (tj.</w:t>
      </w:r>
    </w:p>
    <w:p w:rsidR="00E93D88" w:rsidRDefault="00E93D88" w:rsidP="00DB6743">
      <w:pPr>
        <w:widowControl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provozovatelé regulovaných hazardních her zde budou chtít provoz hazardních her sami aktivně ukončit), nebo</w:t>
      </w:r>
    </w:p>
    <w:p w:rsidR="00E93D88" w:rsidRDefault="00E93D88" w:rsidP="00DB6743">
      <w:pPr>
        <w:widowControl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c) bude v této budově či jejím okolí docházet k opakovanému narušování veřejného pořádku v příčinné souvislosti s provozováním regulovaných hazardních her v této budově (tj. v souvislosti s provozem regulovaných hazardních her v této budově bude opakovaně docházet např. k porušování nočního klidu, občanského soužití, krádežím, apod.).</w:t>
      </w:r>
    </w:p>
    <w:p w:rsidR="005B7A89" w:rsidRDefault="005B7A89" w:rsidP="005B7A89">
      <w:pPr>
        <w:widowControl/>
        <w:adjustRightInd w:val="0"/>
      </w:pPr>
    </w:p>
    <w:p w:rsidR="00C06BC4" w:rsidRDefault="00C06BC4" w:rsidP="0033276D">
      <w:pPr>
        <w:widowControl/>
        <w:adjustRightInd w:val="0"/>
        <w:jc w:val="both"/>
        <w:rPr>
          <w:rFonts w:ascii="Arial" w:hAnsi="Arial" w:cs="Arial"/>
        </w:rPr>
      </w:pPr>
      <w:r w:rsidRPr="0033276D">
        <w:rPr>
          <w:rFonts w:ascii="Arial" w:hAnsi="Arial" w:cs="Arial"/>
        </w:rPr>
        <w:t>Vyhláška, Pravidla, a žádost o vydání povolení k hernímu prostoru</w:t>
      </w:r>
      <w:r>
        <w:rPr>
          <w:rFonts w:ascii="Arial" w:hAnsi="Arial" w:cs="Arial"/>
        </w:rPr>
        <w:t xml:space="preserve"> jsou zveřejněny níže. </w:t>
      </w:r>
    </w:p>
    <w:p w:rsidR="00C06BC4" w:rsidRDefault="00C06BC4" w:rsidP="0033276D">
      <w:pPr>
        <w:widowControl/>
        <w:adjustRightInd w:val="0"/>
        <w:jc w:val="both"/>
        <w:rPr>
          <w:rFonts w:ascii="Arial" w:hAnsi="Arial" w:cs="Arial"/>
        </w:rPr>
      </w:pPr>
    </w:p>
    <w:p w:rsidR="00C06BC4" w:rsidRPr="0033276D" w:rsidRDefault="00C06BC4" w:rsidP="0033276D">
      <w:pPr>
        <w:widowControl/>
        <w:adjustRightInd w:val="0"/>
        <w:jc w:val="both"/>
        <w:rPr>
          <w:rFonts w:ascii="Arial" w:hAnsi="Arial" w:cs="Arial"/>
        </w:rPr>
      </w:pPr>
    </w:p>
    <w:sectPr w:rsidR="00C06BC4" w:rsidRPr="00332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SansUnicod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2FC"/>
    <w:multiLevelType w:val="hybridMultilevel"/>
    <w:tmpl w:val="8A1E4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C38E3"/>
    <w:multiLevelType w:val="hybridMultilevel"/>
    <w:tmpl w:val="1B3E9A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3882"/>
    <w:multiLevelType w:val="hybridMultilevel"/>
    <w:tmpl w:val="52AAC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1026"/>
    <w:multiLevelType w:val="hybridMultilevel"/>
    <w:tmpl w:val="91026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82C7E"/>
    <w:multiLevelType w:val="hybridMultilevel"/>
    <w:tmpl w:val="AE8CDA6E"/>
    <w:lvl w:ilvl="0" w:tplc="A8C2BD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CD45A1"/>
    <w:multiLevelType w:val="hybridMultilevel"/>
    <w:tmpl w:val="55FAD126"/>
    <w:lvl w:ilvl="0" w:tplc="B0924E82">
      <w:start w:val="1"/>
      <w:numFmt w:val="upperRoman"/>
      <w:lvlText w:val="%1."/>
      <w:lvlJc w:val="left"/>
      <w:pPr>
        <w:ind w:left="4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60" w:hanging="360"/>
      </w:pPr>
    </w:lvl>
    <w:lvl w:ilvl="2" w:tplc="0405001B" w:tentative="1">
      <w:start w:val="1"/>
      <w:numFmt w:val="lowerRoman"/>
      <w:lvlText w:val="%3."/>
      <w:lvlJc w:val="right"/>
      <w:pPr>
        <w:ind w:left="5880" w:hanging="180"/>
      </w:pPr>
    </w:lvl>
    <w:lvl w:ilvl="3" w:tplc="0405000F" w:tentative="1">
      <w:start w:val="1"/>
      <w:numFmt w:val="decimal"/>
      <w:lvlText w:val="%4."/>
      <w:lvlJc w:val="left"/>
      <w:pPr>
        <w:ind w:left="6600" w:hanging="360"/>
      </w:pPr>
    </w:lvl>
    <w:lvl w:ilvl="4" w:tplc="04050019" w:tentative="1">
      <w:start w:val="1"/>
      <w:numFmt w:val="lowerLetter"/>
      <w:lvlText w:val="%5."/>
      <w:lvlJc w:val="left"/>
      <w:pPr>
        <w:ind w:left="7320" w:hanging="360"/>
      </w:pPr>
    </w:lvl>
    <w:lvl w:ilvl="5" w:tplc="0405001B" w:tentative="1">
      <w:start w:val="1"/>
      <w:numFmt w:val="lowerRoman"/>
      <w:lvlText w:val="%6."/>
      <w:lvlJc w:val="right"/>
      <w:pPr>
        <w:ind w:left="8040" w:hanging="180"/>
      </w:pPr>
    </w:lvl>
    <w:lvl w:ilvl="6" w:tplc="0405000F" w:tentative="1">
      <w:start w:val="1"/>
      <w:numFmt w:val="decimal"/>
      <w:lvlText w:val="%7."/>
      <w:lvlJc w:val="left"/>
      <w:pPr>
        <w:ind w:left="8760" w:hanging="360"/>
      </w:pPr>
    </w:lvl>
    <w:lvl w:ilvl="7" w:tplc="04050019" w:tentative="1">
      <w:start w:val="1"/>
      <w:numFmt w:val="lowerLetter"/>
      <w:lvlText w:val="%8."/>
      <w:lvlJc w:val="left"/>
      <w:pPr>
        <w:ind w:left="9480" w:hanging="360"/>
      </w:pPr>
    </w:lvl>
    <w:lvl w:ilvl="8" w:tplc="040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6" w15:restartNumberingAfterBreak="0">
    <w:nsid w:val="5E2E4F67"/>
    <w:multiLevelType w:val="hybridMultilevel"/>
    <w:tmpl w:val="48A2F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0106A"/>
    <w:multiLevelType w:val="hybridMultilevel"/>
    <w:tmpl w:val="CA0A9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F0D70"/>
    <w:multiLevelType w:val="hybridMultilevel"/>
    <w:tmpl w:val="4940A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21BC1"/>
    <w:multiLevelType w:val="hybridMultilevel"/>
    <w:tmpl w:val="B15CC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BF"/>
    <w:rsid w:val="00074BC1"/>
    <w:rsid w:val="001006B2"/>
    <w:rsid w:val="00141778"/>
    <w:rsid w:val="00221C51"/>
    <w:rsid w:val="002328B9"/>
    <w:rsid w:val="0023470C"/>
    <w:rsid w:val="002A03EB"/>
    <w:rsid w:val="0033276D"/>
    <w:rsid w:val="004E4369"/>
    <w:rsid w:val="004F2D9B"/>
    <w:rsid w:val="00526116"/>
    <w:rsid w:val="005B7A89"/>
    <w:rsid w:val="00612F9B"/>
    <w:rsid w:val="0063666F"/>
    <w:rsid w:val="00662636"/>
    <w:rsid w:val="0066435B"/>
    <w:rsid w:val="007B07FC"/>
    <w:rsid w:val="0087184D"/>
    <w:rsid w:val="008855FD"/>
    <w:rsid w:val="009140E2"/>
    <w:rsid w:val="009805BF"/>
    <w:rsid w:val="00AC2F28"/>
    <w:rsid w:val="00B47403"/>
    <w:rsid w:val="00C00C8A"/>
    <w:rsid w:val="00C06BC4"/>
    <w:rsid w:val="00C61733"/>
    <w:rsid w:val="00CA27A2"/>
    <w:rsid w:val="00DB6743"/>
    <w:rsid w:val="00DB7814"/>
    <w:rsid w:val="00DC3017"/>
    <w:rsid w:val="00DE145B"/>
    <w:rsid w:val="00E70B0F"/>
    <w:rsid w:val="00E93D88"/>
    <w:rsid w:val="00ED2BC9"/>
    <w:rsid w:val="00F00615"/>
    <w:rsid w:val="00F4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8E389-8F0A-44D1-9CEC-0DCDB5F2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4B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BC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F2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Štencl Bohumil</dc:creator>
  <cp:keywords/>
  <dc:description/>
  <cp:lastModifiedBy>Štencl Bohumil</cp:lastModifiedBy>
  <cp:revision>2</cp:revision>
  <dcterms:created xsi:type="dcterms:W3CDTF">2024-05-23T10:48:00Z</dcterms:created>
  <dcterms:modified xsi:type="dcterms:W3CDTF">2024-05-23T10:48:00Z</dcterms:modified>
</cp:coreProperties>
</file>