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71" w:rsidRPr="00660139" w:rsidRDefault="00AF26CD" w:rsidP="00600271">
      <w:pPr>
        <w:spacing w:after="0" w:line="240" w:lineRule="auto"/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Válečné hroby, p</w:t>
      </w:r>
      <w:r w:rsidR="00600271" w:rsidRPr="00660139">
        <w:rPr>
          <w:rFonts w:ascii="Arial Narrow" w:hAnsi="Arial Narrow"/>
          <w:sz w:val="40"/>
          <w:szCs w:val="40"/>
        </w:rPr>
        <w:t>omníky a pietní místa dle zák. č. 122/2004 Sb., o válečných hrobech a pietních místech</w:t>
      </w:r>
    </w:p>
    <w:p w:rsidR="00600271" w:rsidRPr="003A7963" w:rsidRDefault="00600271" w:rsidP="00600271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</w:p>
    <w:p w:rsidR="00600271" w:rsidRDefault="00600271" w:rsidP="00600271">
      <w:pPr>
        <w:spacing w:after="0" w:line="24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Ve správním obvodu obce s rozšířenou působností Zlín (ORP Zlín) se nachází celkem 80 válečných hrobů ve smyslu zákona o válečných hrobech a pietních místech. </w:t>
      </w:r>
      <w:r w:rsidRPr="00AE12F5">
        <w:rPr>
          <w:rFonts w:ascii="Arial Narrow" w:hAnsi="Arial Narrow"/>
        </w:rPr>
        <w:t xml:space="preserve">Válečným </w:t>
      </w:r>
      <w:r>
        <w:rPr>
          <w:rFonts w:ascii="Arial Narrow" w:hAnsi="Arial Narrow"/>
        </w:rPr>
        <w:t xml:space="preserve">hrobem je </w:t>
      </w:r>
      <w:r w:rsidRPr="00AE12F5">
        <w:rPr>
          <w:rFonts w:ascii="Arial Narrow" w:hAnsi="Arial Narrow"/>
        </w:rPr>
        <w:t>místo, kde jsou pohřbeny ostatky osob, které zahynuly v důsledku aktivní účasti ve vojenské operaci nebo v důsledku válečného zajetí, anebo ostatky osob, které zahynuly v důsledku účasti v odboji nebo vojenské ope</w:t>
      </w:r>
      <w:r>
        <w:rPr>
          <w:rFonts w:ascii="Arial Narrow" w:hAnsi="Arial Narrow"/>
        </w:rPr>
        <w:t xml:space="preserve">raci v době války. </w:t>
      </w:r>
      <w:r w:rsidRPr="00AE12F5">
        <w:rPr>
          <w:rFonts w:ascii="Arial Narrow" w:hAnsi="Arial Narrow"/>
        </w:rPr>
        <w:t xml:space="preserve">Válečným hrobem je </w:t>
      </w:r>
      <w:r>
        <w:rPr>
          <w:rFonts w:ascii="Arial Narrow" w:hAnsi="Arial Narrow"/>
        </w:rPr>
        <w:t>ve smyslu zákona také</w:t>
      </w:r>
      <w:r w:rsidRPr="00AE12F5">
        <w:rPr>
          <w:rFonts w:ascii="Arial Narrow" w:hAnsi="Arial Narrow"/>
        </w:rPr>
        <w:t xml:space="preserve"> pietní místo, kterým se rozumí pamětní deska, pomník, památník nebo obdobný symbol připomínají</w:t>
      </w:r>
      <w:r>
        <w:rPr>
          <w:rFonts w:ascii="Arial Narrow" w:hAnsi="Arial Narrow"/>
        </w:rPr>
        <w:t>cí válečné události a oběti. Z celkového počtu 80 válečných hrobů je pak v ORP Zlín evidováno 37 válečných hrobů s ostatky a 43 pietních míst.</w:t>
      </w:r>
    </w:p>
    <w:p w:rsidR="00600271" w:rsidRDefault="00600271" w:rsidP="00600271">
      <w:pPr>
        <w:spacing w:after="0" w:line="240" w:lineRule="auto"/>
        <w:ind w:firstLine="708"/>
        <w:jc w:val="both"/>
        <w:rPr>
          <w:rFonts w:ascii="Arial Narrow" w:hAnsi="Arial Narrow"/>
        </w:rPr>
      </w:pPr>
    </w:p>
    <w:p w:rsidR="00600271" w:rsidRDefault="00600271" w:rsidP="00600271">
      <w:pPr>
        <w:spacing w:after="0" w:line="24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území jednotlivých obcí mimo statutární město Zlín se nachází válečných hrobů celkem </w:t>
      </w:r>
      <w:r w:rsidRPr="00F706D7">
        <w:rPr>
          <w:rFonts w:ascii="Arial Narrow" w:hAnsi="Arial Narrow"/>
        </w:rPr>
        <w:t>50</w:t>
      </w:r>
      <w:r>
        <w:rPr>
          <w:rFonts w:ascii="Arial Narrow" w:hAnsi="Arial Narrow"/>
        </w:rPr>
        <w:t>. Zde je přehled jejich počtu dle jednotlivých obcí:</w:t>
      </w:r>
    </w:p>
    <w:p w:rsidR="00600271" w:rsidRDefault="00600271" w:rsidP="00600271">
      <w:pPr>
        <w:spacing w:after="0" w:line="240" w:lineRule="auto"/>
        <w:jc w:val="both"/>
        <w:rPr>
          <w:rFonts w:ascii="Arial Narrow" w:hAnsi="Arial Narrow"/>
        </w:rPr>
      </w:pPr>
    </w:p>
    <w:p w:rsidR="00600271" w:rsidRDefault="00600271" w:rsidP="00600271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Mkatabulky"/>
        <w:tblW w:w="9092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284"/>
        <w:gridCol w:w="1487"/>
        <w:gridCol w:w="947"/>
        <w:gridCol w:w="259"/>
        <w:gridCol w:w="2338"/>
        <w:gridCol w:w="947"/>
      </w:tblGrid>
      <w:tr w:rsidR="00600271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Počet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VH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Počet VH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Počet VH</w:t>
            </w:r>
          </w:p>
        </w:tc>
      </w:tr>
      <w:tr w:rsidR="00600271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Bohuslavice u Zlína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Hvozdná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Ostrata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  <w:tr w:rsidR="00600271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D207E8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Březnice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D207E8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Kaňovice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Provodov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</w:tr>
      <w:tr w:rsidR="00600271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Březůvky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Karlovice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Racková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</w:tr>
      <w:tr w:rsidR="00600271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Dobrkovice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Kašava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Šarovy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</w:tr>
      <w:tr w:rsidR="00600271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Doubravy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Lhota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Tečovice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  <w:tr w:rsidR="00600271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Držková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Lukov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Sazovice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  <w:tr w:rsidR="00600271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Fryšták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Lukoveček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Želechovice nad Dřevnicí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  <w:tr w:rsidR="00600271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Hostišová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Lípa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----------------------------------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---------</w:t>
            </w:r>
          </w:p>
        </w:tc>
      </w:tr>
      <w:tr w:rsidR="00600271" w:rsidRPr="001C63BD" w:rsidTr="008C1707">
        <w:trPr>
          <w:trHeight w:val="308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Hřivínův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Újezd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Mysločovice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----------------------------------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271" w:rsidRPr="001C63BD" w:rsidRDefault="00600271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---------</w:t>
            </w:r>
          </w:p>
        </w:tc>
      </w:tr>
    </w:tbl>
    <w:p w:rsidR="00600271" w:rsidRDefault="00600271" w:rsidP="00600271">
      <w:pPr>
        <w:spacing w:after="0" w:line="240" w:lineRule="auto"/>
        <w:jc w:val="both"/>
        <w:rPr>
          <w:rFonts w:ascii="Arial Narrow" w:hAnsi="Arial Narrow"/>
        </w:rPr>
      </w:pPr>
    </w:p>
    <w:p w:rsidR="00600271" w:rsidRDefault="00600271" w:rsidP="00600271">
      <w:pPr>
        <w:spacing w:after="0" w:line="240" w:lineRule="auto"/>
        <w:jc w:val="both"/>
        <w:rPr>
          <w:rFonts w:ascii="Arial Narrow" w:hAnsi="Arial Narrow"/>
        </w:rPr>
      </w:pPr>
    </w:p>
    <w:p w:rsidR="00600271" w:rsidRDefault="00600271" w:rsidP="00600271">
      <w:pPr>
        <w:spacing w:after="0" w:line="240" w:lineRule="auto"/>
        <w:ind w:firstLine="708"/>
        <w:jc w:val="both"/>
        <w:rPr>
          <w:rFonts w:ascii="Arial Narrow" w:hAnsi="Arial Narrow"/>
        </w:rPr>
      </w:pPr>
      <w:r w:rsidRPr="00023572">
        <w:rPr>
          <w:rFonts w:ascii="Arial Narrow" w:hAnsi="Arial Narrow"/>
        </w:rPr>
        <w:t>Péči o válečný hrob zabezpečuje vlastník válečného hrobu, a pokud není znám, vlastník nemovitosti, na které je válečný hrob umístěn.</w:t>
      </w:r>
      <w:r>
        <w:rPr>
          <w:rFonts w:ascii="Arial Narrow" w:hAnsi="Arial Narrow"/>
        </w:rPr>
        <w:t xml:space="preserve"> </w:t>
      </w:r>
      <w:r w:rsidRPr="003E544E">
        <w:rPr>
          <w:rFonts w:ascii="Arial Narrow" w:hAnsi="Arial Narrow"/>
        </w:rPr>
        <w:t>Péčí o válečné hroby se rozumí zabezpečování úpravy, ochrany, zřizování nových válečných hrobů, přemísťování nebo rušení válečných hrobů, včetně exhumací.</w:t>
      </w:r>
      <w:r>
        <w:rPr>
          <w:rFonts w:ascii="Arial Narrow" w:hAnsi="Arial Narrow"/>
        </w:rPr>
        <w:t xml:space="preserve"> Lze tedy říci, že vlastník válečného hrobu, případně vlastník pozemku, na kterém je válečný hrob umístěn, je povinen udržovat VH v dobrém stavu a zajišťovat jeho důstojný vzhled.</w:t>
      </w:r>
    </w:p>
    <w:p w:rsidR="00600271" w:rsidRDefault="00600271" w:rsidP="00600271">
      <w:pPr>
        <w:spacing w:after="0" w:line="240" w:lineRule="auto"/>
        <w:ind w:firstLine="708"/>
        <w:jc w:val="both"/>
        <w:rPr>
          <w:rFonts w:ascii="Arial Narrow" w:hAnsi="Arial Narrow"/>
        </w:rPr>
      </w:pPr>
    </w:p>
    <w:p w:rsidR="00600271" w:rsidRDefault="00600271" w:rsidP="00600271">
      <w:pPr>
        <w:spacing w:after="0" w:line="240" w:lineRule="auto"/>
        <w:ind w:firstLine="708"/>
        <w:jc w:val="both"/>
        <w:rPr>
          <w:rFonts w:ascii="Arial Narrow" w:hAnsi="Arial Narrow"/>
        </w:rPr>
      </w:pPr>
      <w:r w:rsidRPr="00277820">
        <w:rPr>
          <w:rFonts w:ascii="Arial Narrow" w:hAnsi="Arial Narrow"/>
        </w:rPr>
        <w:t xml:space="preserve">Přemístění nebo zrušení válečného hrobu a jinou změnu válečného hrobu než jeho údržbu a úpravu může jeho vlastník nebo, pokud není znám, vlastník nemovitosti, na které je válečný hrob umístěn, provést jen na základě jeho písemné žádosti a po písemném souhlasu Ministerstva </w:t>
      </w:r>
      <w:r>
        <w:rPr>
          <w:rFonts w:ascii="Arial Narrow" w:hAnsi="Arial Narrow"/>
        </w:rPr>
        <w:t>obrany</w:t>
      </w:r>
      <w:r w:rsidRPr="00277820">
        <w:rPr>
          <w:rFonts w:ascii="Arial Narrow" w:hAnsi="Arial Narrow"/>
        </w:rPr>
        <w:t>. Nový válečný hrob lze zřídit jen na základě písemné žádosti zřizovatele a po písemném souhlasu vlastn</w:t>
      </w:r>
      <w:r>
        <w:rPr>
          <w:rFonts w:ascii="Arial Narrow" w:hAnsi="Arial Narrow"/>
        </w:rPr>
        <w:t>íka nemovitosti a Ministerstva obrany.</w:t>
      </w:r>
    </w:p>
    <w:p w:rsidR="00600271" w:rsidRDefault="00600271" w:rsidP="00600271">
      <w:pPr>
        <w:spacing w:after="0" w:line="240" w:lineRule="auto"/>
        <w:ind w:firstLine="708"/>
        <w:jc w:val="both"/>
        <w:rPr>
          <w:rFonts w:ascii="Arial Narrow" w:hAnsi="Arial Narrow"/>
        </w:rPr>
      </w:pPr>
    </w:p>
    <w:p w:rsidR="00600271" w:rsidRDefault="00600271" w:rsidP="00600271">
      <w:pPr>
        <w:spacing w:after="0" w:line="240" w:lineRule="auto"/>
        <w:ind w:firstLine="708"/>
        <w:jc w:val="both"/>
        <w:rPr>
          <w:rFonts w:ascii="Arial Narrow" w:hAnsi="Arial Narrow"/>
        </w:rPr>
      </w:pPr>
      <w:r w:rsidRPr="008C649D">
        <w:rPr>
          <w:rFonts w:ascii="Arial Narrow" w:hAnsi="Arial Narrow"/>
        </w:rPr>
        <w:t>Údržbou a úpravou válečného hrobu se rozumí označení válečného hrobu, umístění pamětní desky, pomníku, památníku nebo obdobného symbolu, včetně běžné údržby válečného hrob</w:t>
      </w:r>
      <w:r>
        <w:rPr>
          <w:rFonts w:ascii="Arial Narrow" w:hAnsi="Arial Narrow"/>
        </w:rPr>
        <w:t>u, jeho okolí a přístupu k němu.</w:t>
      </w:r>
    </w:p>
    <w:p w:rsidR="00600271" w:rsidRDefault="00600271" w:rsidP="00600271">
      <w:pPr>
        <w:spacing w:after="0" w:line="240" w:lineRule="auto"/>
        <w:jc w:val="both"/>
        <w:rPr>
          <w:rFonts w:ascii="Arial Narrow" w:hAnsi="Arial Narrow"/>
        </w:rPr>
      </w:pPr>
    </w:p>
    <w:p w:rsidR="00600271" w:rsidRDefault="00600271" w:rsidP="00600271">
      <w:pPr>
        <w:spacing w:after="0" w:line="24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Příslušným orgánem, který vede evidenci válečných hrobů (CEVH – Centrální evidence válečných hrobů) a koordinuje péči o ně ve správním obvodu ORP Zlín je Magistrát města Zlína, Odbor kultury a památkové péče (</w:t>
      </w:r>
      <w:proofErr w:type="spellStart"/>
      <w:r>
        <w:rPr>
          <w:rFonts w:ascii="Arial Narrow" w:hAnsi="Arial Narrow"/>
        </w:rPr>
        <w:t>OKaPP</w:t>
      </w:r>
      <w:proofErr w:type="spellEnd"/>
      <w:r>
        <w:rPr>
          <w:rFonts w:ascii="Arial Narrow" w:hAnsi="Arial Narrow"/>
        </w:rPr>
        <w:t xml:space="preserve">), kterému je zákonem svěřen výkon státní správy na úseku válečných hrobů v rámci celého správního území. </w:t>
      </w:r>
      <w:proofErr w:type="spellStart"/>
      <w:r>
        <w:rPr>
          <w:rFonts w:ascii="Arial Narrow" w:hAnsi="Arial Narrow"/>
        </w:rPr>
        <w:t>OKaPP</w:t>
      </w:r>
      <w:proofErr w:type="spellEnd"/>
      <w:r>
        <w:rPr>
          <w:rFonts w:ascii="Arial Narrow" w:hAnsi="Arial Narrow"/>
        </w:rPr>
        <w:t xml:space="preserve"> je tedy tím orgánem, na který je možné se obrátit v otázkách týkajících se této problematiky.</w:t>
      </w:r>
    </w:p>
    <w:p w:rsidR="00600271" w:rsidRDefault="00600271" w:rsidP="00600271">
      <w:pPr>
        <w:spacing w:after="0" w:line="240" w:lineRule="auto"/>
        <w:jc w:val="both"/>
        <w:rPr>
          <w:rFonts w:ascii="Arial Narrow" w:hAnsi="Arial Narrow"/>
        </w:rPr>
      </w:pPr>
    </w:p>
    <w:p w:rsidR="00781EDC" w:rsidRDefault="00600271" w:rsidP="00FF4726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Centrální evidence válečných hrobů je také částečně veřejně přístupná. Každý občan zde nalezne informace o konkrétních VH, včetně jejich fotografií: </w:t>
      </w:r>
      <w:hyperlink r:id="rId4" w:history="1">
        <w:r w:rsidRPr="005932B4">
          <w:rPr>
            <w:rStyle w:val="Hypertextovodkaz"/>
            <w:rFonts w:ascii="Arial Narrow" w:hAnsi="Arial Narrow"/>
          </w:rPr>
          <w:t>http://www.evidencevh.army.cz/Evidence/hledani-osoby-v-cr</w:t>
        </w:r>
      </w:hyperlink>
      <w:r w:rsidR="00FF4726">
        <w:rPr>
          <w:rFonts w:ascii="Arial Narrow" w:hAnsi="Arial Narrow"/>
        </w:rPr>
        <w:t>.</w:t>
      </w:r>
    </w:p>
    <w:p w:rsidR="00FF4726" w:rsidRDefault="00FF4726" w:rsidP="00124ADB">
      <w:pPr>
        <w:spacing w:after="0" w:line="240" w:lineRule="auto"/>
        <w:rPr>
          <w:rFonts w:ascii="Arial Narrow" w:hAnsi="Arial Narrow"/>
        </w:rPr>
      </w:pPr>
    </w:p>
    <w:p w:rsidR="00124ADB" w:rsidRDefault="00124ADB" w:rsidP="00124AD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Vypracoval:</w:t>
      </w:r>
      <w:r>
        <w:rPr>
          <w:rFonts w:ascii="Arial Narrow" w:hAnsi="Arial Narrow"/>
        </w:rPr>
        <w:tab/>
        <w:t>Odb</w:t>
      </w:r>
      <w:r w:rsidR="005C28D3">
        <w:rPr>
          <w:rFonts w:ascii="Arial Narrow" w:hAnsi="Arial Narrow"/>
        </w:rPr>
        <w:t>or kultury a památkové péče MMZ</w:t>
      </w:r>
    </w:p>
    <w:p w:rsidR="00124ADB" w:rsidRDefault="00124ADB" w:rsidP="00124ADB">
      <w:pPr>
        <w:spacing w:after="0" w:line="240" w:lineRule="auto"/>
        <w:ind w:left="708" w:firstLine="708"/>
        <w:rPr>
          <w:rFonts w:ascii="Arial Narrow" w:hAnsi="Arial Narrow"/>
        </w:rPr>
      </w:pPr>
      <w:r>
        <w:rPr>
          <w:rFonts w:ascii="Arial Narrow" w:hAnsi="Arial Narrow"/>
        </w:rPr>
        <w:t>únor 2021</w:t>
      </w:r>
      <w:bookmarkStart w:id="0" w:name="_GoBack"/>
      <w:bookmarkEnd w:id="0"/>
    </w:p>
    <w:sectPr w:rsidR="00124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71"/>
    <w:rsid w:val="000B6BD0"/>
    <w:rsid w:val="00124ADB"/>
    <w:rsid w:val="005C28D3"/>
    <w:rsid w:val="00600271"/>
    <w:rsid w:val="00781EDC"/>
    <w:rsid w:val="0078291C"/>
    <w:rsid w:val="00AF26CD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6D2FC-155B-45C4-8B01-60D14271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00271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00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idencevh.army.cz/Evidence/hledani-osoby-v-cr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Šrámek Jiří</dc:creator>
  <cp:keywords/>
  <dc:description/>
  <cp:lastModifiedBy>Šrámek Jiří</cp:lastModifiedBy>
  <cp:revision>6</cp:revision>
  <dcterms:created xsi:type="dcterms:W3CDTF">2021-01-29T07:05:00Z</dcterms:created>
  <dcterms:modified xsi:type="dcterms:W3CDTF">2021-05-27T15:12:00Z</dcterms:modified>
</cp:coreProperties>
</file>