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0CD" w:rsidRPr="00E94999" w:rsidRDefault="004060CD" w:rsidP="004060CD">
      <w:pPr>
        <w:spacing w:after="0" w:line="240" w:lineRule="auto"/>
        <w:jc w:val="center"/>
        <w:rPr>
          <w:rFonts w:ascii="Arial Narrow" w:hAnsi="Arial Narrow"/>
          <w:sz w:val="40"/>
          <w:szCs w:val="40"/>
        </w:rPr>
      </w:pPr>
      <w:r w:rsidRPr="00E94999">
        <w:rPr>
          <w:rFonts w:ascii="Arial Narrow" w:hAnsi="Arial Narrow"/>
          <w:sz w:val="40"/>
          <w:szCs w:val="40"/>
        </w:rPr>
        <w:t>Postup při záměru obnovy kulturní památky</w:t>
      </w:r>
    </w:p>
    <w:p w:rsidR="004060CD" w:rsidRDefault="004060CD" w:rsidP="004060CD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4060CD" w:rsidRDefault="004060CD" w:rsidP="004060CD">
      <w:pPr>
        <w:spacing w:after="0" w:line="240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Ve správním obvodu obce s rozšířenou působností Zlín (ORP Zlín) se nachází celkem 124 nemovitých kulturních památek (např. budovy, pozemky, kříže, sochy, drobné stavby) a nespočet kulturních památek movitých (např. nábytek, obrazy, oltáře či mobiliáře v kostelech). </w:t>
      </w:r>
    </w:p>
    <w:p w:rsidR="004060CD" w:rsidRDefault="004060CD" w:rsidP="004060CD">
      <w:pPr>
        <w:spacing w:after="0" w:line="240" w:lineRule="auto"/>
        <w:ind w:firstLine="708"/>
        <w:jc w:val="both"/>
        <w:rPr>
          <w:rFonts w:ascii="Arial Narrow" w:hAnsi="Arial Narrow"/>
        </w:rPr>
      </w:pPr>
    </w:p>
    <w:p w:rsidR="004060CD" w:rsidRDefault="004060CD" w:rsidP="004060CD">
      <w:pPr>
        <w:spacing w:after="0" w:line="240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Na území jednotlivých obcí mimo statutární město Zlín se nachází nemovitých kulturních památek celkem 60. Zde je přehled jejich počtu dle jednotlivých obcí:</w:t>
      </w:r>
    </w:p>
    <w:p w:rsidR="004060CD" w:rsidRDefault="004060CD" w:rsidP="004060CD">
      <w:pPr>
        <w:spacing w:after="0" w:line="240" w:lineRule="auto"/>
        <w:jc w:val="both"/>
        <w:rPr>
          <w:rFonts w:ascii="Arial Narrow" w:hAnsi="Arial Narrow"/>
        </w:rPr>
      </w:pPr>
    </w:p>
    <w:p w:rsidR="004060CD" w:rsidRDefault="004060CD" w:rsidP="004060CD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Mkatabulky"/>
        <w:tblW w:w="9092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284"/>
        <w:gridCol w:w="1487"/>
        <w:gridCol w:w="947"/>
        <w:gridCol w:w="259"/>
        <w:gridCol w:w="2338"/>
        <w:gridCol w:w="947"/>
      </w:tblGrid>
      <w:tr w:rsidR="004060CD" w:rsidRPr="001C63BD" w:rsidTr="008C1707">
        <w:trPr>
          <w:trHeight w:val="22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/>
                <w:bCs/>
                <w:sz w:val="18"/>
                <w:szCs w:val="18"/>
              </w:rPr>
              <w:t>Počet památek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/>
                <w:bCs/>
                <w:sz w:val="18"/>
                <w:szCs w:val="18"/>
              </w:rPr>
              <w:t>Počet památek</w:t>
            </w:r>
          </w:p>
        </w:tc>
        <w:tc>
          <w:tcPr>
            <w:tcW w:w="2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/>
                <w:bCs/>
                <w:sz w:val="18"/>
                <w:szCs w:val="18"/>
              </w:rPr>
              <w:t>Počet památek</w:t>
            </w:r>
          </w:p>
        </w:tc>
      </w:tr>
      <w:tr w:rsidR="004060CD" w:rsidRPr="001C63BD" w:rsidTr="008C1707">
        <w:trPr>
          <w:trHeight w:val="22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Bohuslavice u Zlína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Hřivínův Újezd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Ostrata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</w:tr>
      <w:tr w:rsidR="004060CD" w:rsidRPr="001C63BD" w:rsidTr="008C1707">
        <w:trPr>
          <w:trHeight w:val="22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Březnice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Hvozdná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Provodov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7A2A49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bookmarkStart w:id="0" w:name="_GoBack"/>
            <w:bookmarkEnd w:id="0"/>
          </w:p>
        </w:tc>
      </w:tr>
      <w:tr w:rsidR="004060CD" w:rsidRPr="001C63BD" w:rsidTr="008C1707">
        <w:trPr>
          <w:trHeight w:val="22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Březůvky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Kaňovice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2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Racková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</w:tr>
      <w:tr w:rsidR="004060CD" w:rsidRPr="001C63BD" w:rsidTr="008C1707">
        <w:trPr>
          <w:trHeight w:val="22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Dobrkovice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Kašava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Šarovy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</w:tr>
      <w:tr w:rsidR="004060CD" w:rsidRPr="001C63BD" w:rsidTr="008C1707">
        <w:trPr>
          <w:trHeight w:val="22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Doubravy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Kelníky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Tečovice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</w:tr>
      <w:tr w:rsidR="004060CD" w:rsidRPr="001C63BD" w:rsidTr="008C1707">
        <w:trPr>
          <w:trHeight w:val="22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Držková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Lukov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2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Velký Ořechov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4060CD" w:rsidRPr="001C63BD" w:rsidTr="008C1707">
        <w:trPr>
          <w:trHeight w:val="22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Fryšták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Machová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Vlčková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</w:tr>
      <w:tr w:rsidR="004060CD" w:rsidRPr="001C63BD" w:rsidTr="008C1707">
        <w:trPr>
          <w:trHeight w:val="22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Hostišová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Mysločovice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2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Želechovice nad Dřevnicí</w:t>
            </w:r>
          </w:p>
        </w:tc>
        <w:tc>
          <w:tcPr>
            <w:tcW w:w="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60CD" w:rsidRPr="001C63BD" w:rsidRDefault="004060CD" w:rsidP="008C1707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63B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</w:tr>
    </w:tbl>
    <w:p w:rsidR="004060CD" w:rsidRDefault="004060CD" w:rsidP="004060CD">
      <w:pPr>
        <w:spacing w:after="0" w:line="240" w:lineRule="auto"/>
        <w:jc w:val="both"/>
        <w:rPr>
          <w:rFonts w:ascii="Arial Narrow" w:hAnsi="Arial Narrow"/>
        </w:rPr>
      </w:pPr>
    </w:p>
    <w:p w:rsidR="004060CD" w:rsidRDefault="004060CD" w:rsidP="004060CD">
      <w:pPr>
        <w:spacing w:after="0" w:line="240" w:lineRule="auto"/>
        <w:jc w:val="both"/>
        <w:rPr>
          <w:rFonts w:ascii="Arial Narrow" w:hAnsi="Arial Narrow"/>
        </w:rPr>
      </w:pPr>
    </w:p>
    <w:p w:rsidR="004060CD" w:rsidRDefault="004060CD" w:rsidP="004060CD">
      <w:pPr>
        <w:spacing w:after="0" w:line="240" w:lineRule="auto"/>
        <w:ind w:firstLine="708"/>
        <w:jc w:val="both"/>
        <w:rPr>
          <w:rFonts w:ascii="Arial Narrow" w:hAnsi="Arial Narrow"/>
        </w:rPr>
      </w:pPr>
      <w:r w:rsidRPr="00BB5F1A">
        <w:rPr>
          <w:rFonts w:ascii="Arial Narrow" w:hAnsi="Arial Narrow"/>
        </w:rPr>
        <w:t>Zamýšlí-li vlastník kulturní památky provést údržbu, opravu, rekonstrukci, restaurování nebo jinou úpravu kulturní památky n</w:t>
      </w:r>
      <w:r>
        <w:rPr>
          <w:rFonts w:ascii="Arial Narrow" w:hAnsi="Arial Narrow"/>
        </w:rPr>
        <w:t>ebo jejího prostředí (dále jen „obnova“</w:t>
      </w:r>
      <w:r w:rsidRPr="00BB5F1A">
        <w:rPr>
          <w:rFonts w:ascii="Arial Narrow" w:hAnsi="Arial Narrow"/>
        </w:rPr>
        <w:t>), je povinen si předem vyžádat závazné stanovisko obecního úřadu obce s rozšířenou působnost</w:t>
      </w:r>
      <w:r>
        <w:rPr>
          <w:rFonts w:ascii="Arial Narrow" w:hAnsi="Arial Narrow"/>
        </w:rPr>
        <w:t>í (§ 14 odst. 1 zák. č. 20/1987 Sb., o státní památkové péči).  Restaurováním se rozumí obnova</w:t>
      </w:r>
      <w:r w:rsidRPr="001C6F97">
        <w:rPr>
          <w:rFonts w:ascii="Arial Narrow" w:hAnsi="Arial Narrow"/>
        </w:rPr>
        <w:t xml:space="preserve"> kulturních památek nebo jejich částí, které jsou díly výtvarných umění nebo uměleckořemeslnými p</w:t>
      </w:r>
      <w:r>
        <w:rPr>
          <w:rFonts w:ascii="Arial Narrow" w:hAnsi="Arial Narrow"/>
        </w:rPr>
        <w:t xml:space="preserve">racemi. Tuto specifickou odbornou formu obnovy </w:t>
      </w:r>
      <w:r w:rsidRPr="001C6F97">
        <w:rPr>
          <w:rFonts w:ascii="Arial Narrow" w:hAnsi="Arial Narrow"/>
        </w:rPr>
        <w:t xml:space="preserve">mohou provádět </w:t>
      </w:r>
      <w:r>
        <w:rPr>
          <w:rFonts w:ascii="Arial Narrow" w:hAnsi="Arial Narrow"/>
        </w:rPr>
        <w:t xml:space="preserve">pouze </w:t>
      </w:r>
      <w:r w:rsidRPr="001C6F97">
        <w:rPr>
          <w:rFonts w:ascii="Arial Narrow" w:hAnsi="Arial Narrow"/>
        </w:rPr>
        <w:t xml:space="preserve">fyzické osoby na základě </w:t>
      </w:r>
      <w:r>
        <w:rPr>
          <w:rFonts w:ascii="Arial Narrow" w:hAnsi="Arial Narrow"/>
        </w:rPr>
        <w:t xml:space="preserve">příslušného </w:t>
      </w:r>
      <w:r w:rsidRPr="001C6F97">
        <w:rPr>
          <w:rFonts w:ascii="Arial Narrow" w:hAnsi="Arial Narrow"/>
        </w:rPr>
        <w:t xml:space="preserve">povolení vydaného </w:t>
      </w:r>
      <w:r>
        <w:rPr>
          <w:rFonts w:ascii="Arial Narrow" w:hAnsi="Arial Narrow"/>
        </w:rPr>
        <w:t>Ministerstvem kultury (restaurátoři)</w:t>
      </w:r>
      <w:r w:rsidRPr="001C6F97">
        <w:rPr>
          <w:rFonts w:ascii="Arial Narrow" w:hAnsi="Arial Narrow"/>
        </w:rPr>
        <w:t>, přičemž restaurováním se rozumí souhrn specifických výtvarných, uměleckořemeslných a technických prací respektujících technickou a výtvarnou strukturu originálu.</w:t>
      </w:r>
      <w:r>
        <w:rPr>
          <w:rFonts w:ascii="Arial Narrow" w:hAnsi="Arial Narrow"/>
        </w:rPr>
        <w:t xml:space="preserve"> Takovýmito díly výtvarných umění jsou typicky obrazy, sochy, oltáře, nástěnné malby a jiné. Díly uměleckého řemesla mohou být např. zdobné štukové či kamenné prvky fasád nebo kovové či dřevěné umělecké prvky.</w:t>
      </w:r>
    </w:p>
    <w:p w:rsidR="004060CD" w:rsidRDefault="004060CD" w:rsidP="004060CD">
      <w:pPr>
        <w:spacing w:after="0" w:line="240" w:lineRule="auto"/>
        <w:jc w:val="both"/>
        <w:rPr>
          <w:rFonts w:ascii="Arial Narrow" w:hAnsi="Arial Narrow"/>
        </w:rPr>
      </w:pPr>
    </w:p>
    <w:p w:rsidR="004060CD" w:rsidRDefault="004060CD" w:rsidP="004060CD">
      <w:pPr>
        <w:spacing w:after="0" w:line="240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Také by se nemělo zapomínat na to, že také samotné nezastavěné pozemky jsou často kulturními památkami. Příkladem může být zámecký park nebo zahrada rodinného domu. V těchto případech je obnovou nemovitosti myšleno také kácení a výsadba dřevin na nich či stavba oplocení. Zamýšlí – li vlastník kácet stromy na svém pozemku, který je kulturní památkou, je povinen si předem k tomuto záměru vyžádat závazné stanovisko příslušného orgánu památkové péče.</w:t>
      </w:r>
    </w:p>
    <w:p w:rsidR="004060CD" w:rsidRDefault="004060CD" w:rsidP="004060CD">
      <w:pPr>
        <w:spacing w:after="0" w:line="240" w:lineRule="auto"/>
        <w:jc w:val="both"/>
        <w:rPr>
          <w:rFonts w:ascii="Arial Narrow" w:hAnsi="Arial Narrow"/>
        </w:rPr>
      </w:pPr>
    </w:p>
    <w:p w:rsidR="004060CD" w:rsidRDefault="004060CD" w:rsidP="004060CD">
      <w:pPr>
        <w:spacing w:after="0" w:line="240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Příslušným orgánem je pro všechny kulturní památky nacházející se v ORP Zlín Magistrát města Zlína, Odbor kultury a památkové péče (OKaPP), kterému je zákonem svěřen výkon státní památkové péče v rámci celého správního území. OKaPP je tedy tím orgánem, který rozhoduje o přípustnosti či nepřípustnosti záměru obnovy kulturní památky, a to v úzké spolupráci s Národním památkovým ústavem, územním odborným pracovištěm v Kroměříži (NPÚ).</w:t>
      </w:r>
    </w:p>
    <w:p w:rsidR="004060CD" w:rsidRDefault="004060CD" w:rsidP="004060CD">
      <w:pPr>
        <w:spacing w:after="0" w:line="240" w:lineRule="auto"/>
        <w:jc w:val="both"/>
        <w:rPr>
          <w:rFonts w:ascii="Arial Narrow" w:hAnsi="Arial Narrow"/>
        </w:rPr>
      </w:pPr>
    </w:p>
    <w:p w:rsidR="004060CD" w:rsidRDefault="004060CD" w:rsidP="004060CD">
      <w:pPr>
        <w:spacing w:after="0" w:line="240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Fakticky by měl postup při záměru obnovy kulturní památky probíhat takto:</w:t>
      </w:r>
    </w:p>
    <w:p w:rsidR="004060CD" w:rsidRDefault="004060CD" w:rsidP="004060CD">
      <w:pPr>
        <w:spacing w:after="0" w:line="240" w:lineRule="auto"/>
        <w:jc w:val="both"/>
        <w:rPr>
          <w:rFonts w:ascii="Arial Narrow" w:hAnsi="Arial Narrow"/>
        </w:rPr>
      </w:pPr>
    </w:p>
    <w:p w:rsidR="004060CD" w:rsidRPr="003D336D" w:rsidRDefault="004060CD" w:rsidP="004060C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</w:rPr>
      </w:pPr>
      <w:r w:rsidRPr="003D336D">
        <w:rPr>
          <w:rFonts w:ascii="Arial Narrow" w:hAnsi="Arial Narrow"/>
          <w:b/>
        </w:rPr>
        <w:t>Vlastník kulturní památky zamýšlí její konkrétní obnovu, buď celkovou, nebo dílčí</w:t>
      </w:r>
    </w:p>
    <w:p w:rsidR="004060CD" w:rsidRPr="00D329A4" w:rsidRDefault="004060CD" w:rsidP="004060CD">
      <w:pPr>
        <w:pStyle w:val="Odstavecseseznamem"/>
        <w:spacing w:after="0" w:line="240" w:lineRule="auto"/>
        <w:ind w:left="1080"/>
        <w:jc w:val="both"/>
        <w:rPr>
          <w:rFonts w:ascii="Arial Narrow" w:hAnsi="Arial Narrow"/>
          <w:sz w:val="16"/>
          <w:szCs w:val="16"/>
        </w:rPr>
      </w:pPr>
    </w:p>
    <w:p w:rsidR="004060CD" w:rsidRDefault="004060CD" w:rsidP="004060C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již v této fázi je vhodné oslovit pracovníky OKaPP, sdělit jim svůj záměr a zkonzultovat jej z hlediska jeho možnosti provedení ve vztahu k požadavkům památkové péče a požadavkům vlastníka</w:t>
      </w:r>
    </w:p>
    <w:p w:rsidR="004060CD" w:rsidRDefault="004060CD" w:rsidP="004060C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je vhodné také záměr zkonzultovat s příslušnými pracovníky NPÚ či začít s konzultacemi rovnou u této odborné organizace památkové péče</w:t>
      </w:r>
    </w:p>
    <w:p w:rsidR="004060CD" w:rsidRDefault="004060CD" w:rsidP="004060CD">
      <w:pPr>
        <w:spacing w:after="0" w:line="240" w:lineRule="auto"/>
        <w:jc w:val="both"/>
        <w:rPr>
          <w:rFonts w:ascii="Arial Narrow" w:hAnsi="Arial Narrow"/>
        </w:rPr>
      </w:pPr>
    </w:p>
    <w:p w:rsidR="004060CD" w:rsidRDefault="004060CD" w:rsidP="004060CD">
      <w:pPr>
        <w:pStyle w:val="Odstavecseseznamem"/>
        <w:spacing w:after="0" w:line="240" w:lineRule="auto"/>
        <w:jc w:val="both"/>
        <w:rPr>
          <w:rFonts w:ascii="Arial Narrow" w:hAnsi="Arial Narrow"/>
          <w:b/>
        </w:rPr>
      </w:pPr>
    </w:p>
    <w:p w:rsidR="004060CD" w:rsidRPr="00D874D4" w:rsidRDefault="004060CD" w:rsidP="004060C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</w:rPr>
      </w:pPr>
      <w:r w:rsidRPr="00D874D4">
        <w:rPr>
          <w:rFonts w:ascii="Arial Narrow" w:hAnsi="Arial Narrow"/>
          <w:b/>
        </w:rPr>
        <w:lastRenderedPageBreak/>
        <w:t>Tvorba konkrétního záměru, projektové dokumentace</w:t>
      </w:r>
    </w:p>
    <w:p w:rsidR="004060CD" w:rsidRPr="00D329A4" w:rsidRDefault="004060CD" w:rsidP="004060CD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4060CD" w:rsidRDefault="004060CD" w:rsidP="004060C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 konzultaci se zástupci památkové péče je potřeba záměr obnovy do detailů popsat formou projektové dokumentace, restaurátorského záměru nebo v případě menších zásahů do kulturní památky např. slovním popisem doplněným o fotografie či zákresy</w:t>
      </w:r>
    </w:p>
    <w:p w:rsidR="004060CD" w:rsidRDefault="004060CD" w:rsidP="004060C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také v této fázi tvorby záměru je vhodné jej konzultovat se zástupci památkové péče, můžou se vyřešit např. konkrétní barevnosti či materiály, které budou při obnově použity</w:t>
      </w:r>
    </w:p>
    <w:p w:rsidR="004060CD" w:rsidRDefault="004060CD" w:rsidP="004060CD">
      <w:pPr>
        <w:spacing w:after="0" w:line="240" w:lineRule="auto"/>
        <w:ind w:left="720"/>
        <w:jc w:val="both"/>
        <w:rPr>
          <w:rFonts w:ascii="Arial Narrow" w:hAnsi="Arial Narrow"/>
        </w:rPr>
      </w:pPr>
    </w:p>
    <w:p w:rsidR="004060CD" w:rsidRPr="00D874D4" w:rsidRDefault="004060CD" w:rsidP="004060C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</w:rPr>
      </w:pPr>
      <w:r w:rsidRPr="00D874D4">
        <w:rPr>
          <w:rFonts w:ascii="Arial Narrow" w:hAnsi="Arial Narrow"/>
          <w:b/>
        </w:rPr>
        <w:t>Podání žádosti o vydání závazného stanoviska dle § 14 odst. 1 památkového zákona</w:t>
      </w:r>
    </w:p>
    <w:p w:rsidR="004060CD" w:rsidRDefault="004060CD" w:rsidP="004060CD">
      <w:pPr>
        <w:pStyle w:val="Odstavecseseznamem"/>
        <w:spacing w:after="0" w:line="240" w:lineRule="auto"/>
        <w:jc w:val="both"/>
        <w:rPr>
          <w:rFonts w:ascii="Arial Narrow" w:hAnsi="Arial Narrow"/>
        </w:rPr>
      </w:pPr>
    </w:p>
    <w:p w:rsidR="004060CD" w:rsidRDefault="004060CD" w:rsidP="004060C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9E67EB">
        <w:rPr>
          <w:rFonts w:ascii="Arial Narrow" w:hAnsi="Arial Narrow"/>
        </w:rPr>
        <w:t>lastník kulturní památky či jeho zplnomocněný zástupce podá žádost o vydání závazného stanoviska na Magistrátu města Zlína</w:t>
      </w:r>
      <w:r>
        <w:rPr>
          <w:rFonts w:ascii="Arial Narrow" w:hAnsi="Arial Narrow"/>
        </w:rPr>
        <w:t>, a to na předepsaném formuláři, jehož přílohou bude konkrétní popis záměru obnovy kulturní památky (projektová dokumentace, restaurátorský záměr či jiný dostačující popis)</w:t>
      </w:r>
    </w:p>
    <w:p w:rsidR="004060CD" w:rsidRDefault="004060CD" w:rsidP="004060C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další variantou je podat žádost o tzv. koordinované závazné stanovisko na Odboru životního prostředí a zemědělství MMZ, v rámci kterého se k záměru vyjádří v jednom uceleném dokumentu všechny dotčené orgány státní správy (vhodné při rozsáhlejších obnovách, kdy je dotčeno více orgánů)</w:t>
      </w:r>
    </w:p>
    <w:p w:rsidR="004060CD" w:rsidRDefault="004060CD" w:rsidP="004060CD">
      <w:pPr>
        <w:spacing w:after="0" w:line="240" w:lineRule="auto"/>
        <w:jc w:val="both"/>
        <w:rPr>
          <w:rFonts w:ascii="Arial Narrow" w:hAnsi="Arial Narrow"/>
        </w:rPr>
      </w:pPr>
    </w:p>
    <w:p w:rsidR="004060CD" w:rsidRDefault="004060CD" w:rsidP="004060CD">
      <w:pPr>
        <w:spacing w:after="0" w:line="240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Podáním žádosti je zahájeno řízení o vydání závazného stanoviska. OKaPP záměr zašle v souladu s §  14 odst. 6 památkového zákona Národnímu památkovému ústavu k písemnému vyjádření. Ve lhůtě do 20 dnů pak OKaPP písemné vyjádření obdrží. Toto písemné vyjádření NPÚ je pak podkladem pro rozhodnutí příslušného orgánu památkové péče, tedy v tomto případě OKaPP, který vydá závazné stanovisko. V něm je uvedeno, zda je zamýšlená obnova kulturní památky přípustná či nikoli, případně se stanoví základní podmínky, za kterých je možné zamýšlené práce provést.</w:t>
      </w:r>
    </w:p>
    <w:p w:rsidR="004060CD" w:rsidRDefault="004060CD" w:rsidP="004060CD">
      <w:pPr>
        <w:spacing w:after="0" w:line="240" w:lineRule="auto"/>
        <w:jc w:val="both"/>
        <w:rPr>
          <w:rFonts w:ascii="Arial Narrow" w:hAnsi="Arial Narrow"/>
        </w:rPr>
      </w:pPr>
    </w:p>
    <w:p w:rsidR="004060CD" w:rsidRDefault="004060CD" w:rsidP="004060CD">
      <w:pPr>
        <w:spacing w:after="0" w:line="240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Jakmile má vlastník kulturní památky v ruce souhlasné závazné stanovisko OKaPP, neměl by zapomenout seznámit o svém záměru také stavební úřad. Pracovníci Odboru stavebních a dopravních řízení MMZ mu pak sdělí potřebné informace.</w:t>
      </w:r>
    </w:p>
    <w:p w:rsidR="00781EDC" w:rsidRDefault="00781EDC"/>
    <w:p w:rsidR="003113B0" w:rsidRDefault="003113B0"/>
    <w:p w:rsidR="003113B0" w:rsidRDefault="003113B0"/>
    <w:p w:rsidR="003113B0" w:rsidRDefault="003113B0"/>
    <w:p w:rsidR="003113B0" w:rsidRDefault="003113B0"/>
    <w:p w:rsidR="003113B0" w:rsidRDefault="003113B0" w:rsidP="003113B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Vypracoval:</w:t>
      </w:r>
      <w:r>
        <w:rPr>
          <w:rFonts w:ascii="Arial Narrow" w:hAnsi="Arial Narrow"/>
        </w:rPr>
        <w:tab/>
      </w:r>
      <w:r w:rsidRPr="003113B0">
        <w:rPr>
          <w:rFonts w:ascii="Arial Narrow" w:hAnsi="Arial Narrow"/>
        </w:rPr>
        <w:t>Odbor kultury a památkové péče MMZ</w:t>
      </w:r>
      <w:r>
        <w:rPr>
          <w:rFonts w:ascii="Arial Narrow" w:hAnsi="Arial Narrow"/>
        </w:rPr>
        <w:t>,</w:t>
      </w:r>
    </w:p>
    <w:p w:rsidR="003113B0" w:rsidRPr="003113B0" w:rsidRDefault="003113B0" w:rsidP="003113B0">
      <w:pPr>
        <w:spacing w:after="0" w:line="240" w:lineRule="auto"/>
        <w:ind w:left="708" w:firstLine="708"/>
        <w:rPr>
          <w:rFonts w:ascii="Arial Narrow" w:hAnsi="Arial Narrow"/>
        </w:rPr>
      </w:pPr>
      <w:r w:rsidRPr="003113B0">
        <w:rPr>
          <w:rFonts w:ascii="Arial Narrow" w:hAnsi="Arial Narrow"/>
        </w:rPr>
        <w:t>únor 2021</w:t>
      </w:r>
    </w:p>
    <w:sectPr w:rsidR="003113B0" w:rsidRPr="003113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EDD" w:rsidRDefault="007D1EDD" w:rsidP="00B577AA">
      <w:pPr>
        <w:spacing w:after="0" w:line="240" w:lineRule="auto"/>
      </w:pPr>
      <w:r>
        <w:separator/>
      </w:r>
    </w:p>
  </w:endnote>
  <w:endnote w:type="continuationSeparator" w:id="0">
    <w:p w:rsidR="007D1EDD" w:rsidRDefault="007D1EDD" w:rsidP="00B5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780874"/>
      <w:docPartObj>
        <w:docPartGallery w:val="Page Numbers (Bottom of Page)"/>
        <w:docPartUnique/>
      </w:docPartObj>
    </w:sdtPr>
    <w:sdtEndPr/>
    <w:sdtContent>
      <w:p w:rsidR="00B577AA" w:rsidRDefault="00B577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A49">
          <w:rPr>
            <w:noProof/>
          </w:rPr>
          <w:t>1</w:t>
        </w:r>
        <w:r>
          <w:fldChar w:fldCharType="end"/>
        </w:r>
      </w:p>
    </w:sdtContent>
  </w:sdt>
  <w:p w:rsidR="00B577AA" w:rsidRDefault="00B577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EDD" w:rsidRDefault="007D1EDD" w:rsidP="00B577AA">
      <w:pPr>
        <w:spacing w:after="0" w:line="240" w:lineRule="auto"/>
      </w:pPr>
      <w:r>
        <w:separator/>
      </w:r>
    </w:p>
  </w:footnote>
  <w:footnote w:type="continuationSeparator" w:id="0">
    <w:p w:rsidR="007D1EDD" w:rsidRDefault="007D1EDD" w:rsidP="00B57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0F12"/>
    <w:multiLevelType w:val="hybridMultilevel"/>
    <w:tmpl w:val="57D05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675A7"/>
    <w:multiLevelType w:val="hybridMultilevel"/>
    <w:tmpl w:val="5680D25A"/>
    <w:lvl w:ilvl="0" w:tplc="4574DB16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B7"/>
    <w:rsid w:val="000711DE"/>
    <w:rsid w:val="000B6BD0"/>
    <w:rsid w:val="003113B0"/>
    <w:rsid w:val="004060CD"/>
    <w:rsid w:val="00422E53"/>
    <w:rsid w:val="005005B7"/>
    <w:rsid w:val="00781EDC"/>
    <w:rsid w:val="007A2A49"/>
    <w:rsid w:val="007D1EDD"/>
    <w:rsid w:val="00B5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4453"/>
  <w15:chartTrackingRefBased/>
  <w15:docId w15:val="{CBD274A6-E181-47C6-B772-0901CA5E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60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060CD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60C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77AA"/>
  </w:style>
  <w:style w:type="paragraph" w:styleId="Zpat">
    <w:name w:val="footer"/>
    <w:basedOn w:val="Normln"/>
    <w:link w:val="ZpatChar"/>
    <w:uiPriority w:val="99"/>
    <w:unhideWhenUsed/>
    <w:rsid w:val="00B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7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751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Šrámek Jiří</dc:creator>
  <cp:keywords/>
  <dc:description/>
  <cp:lastModifiedBy>Šrámek Jiří</cp:lastModifiedBy>
  <cp:revision>13</cp:revision>
  <dcterms:created xsi:type="dcterms:W3CDTF">2021-01-29T07:00:00Z</dcterms:created>
  <dcterms:modified xsi:type="dcterms:W3CDTF">2021-09-20T06:00:00Z</dcterms:modified>
</cp:coreProperties>
</file>